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DD" w:rsidRPr="009D05DD" w:rsidRDefault="009D05DD" w:rsidP="009D05DD">
      <w:pPr>
        <w:spacing w:beforeAutospacing="1" w:after="100" w:afterAutospacing="1"/>
        <w:jc w:val="center"/>
      </w:pPr>
      <w:r w:rsidRPr="009D05DD">
        <w:rPr>
          <w:b/>
          <w:bCs/>
          <w:sz w:val="36"/>
          <w:szCs w:val="36"/>
          <w:lang w:val="pt-PT"/>
        </w:rPr>
        <w:t>Cálculo da Elevação do Ponto de Ebulição de</w:t>
      </w:r>
      <w:r w:rsidRPr="009D05DD">
        <w:rPr>
          <w:b/>
          <w:bCs/>
          <w:sz w:val="36"/>
          <w:szCs w:val="36"/>
          <w:lang w:val="pt-PT"/>
        </w:rPr>
        <w:br/>
        <w:t>Soluções a partir de Dados de Pressão Parcial</w:t>
      </w:r>
    </w:p>
    <w:p w:rsidR="009D05DD" w:rsidRPr="009D05DD" w:rsidRDefault="009D05DD" w:rsidP="009D05DD">
      <w:pPr>
        <w:spacing w:before="100" w:beforeAutospacing="1" w:after="100" w:afterAutospacing="1"/>
        <w:jc w:val="center"/>
      </w:pPr>
      <w:r w:rsidRPr="009D05DD">
        <w:t> </w:t>
      </w:r>
    </w:p>
    <w:p w:rsidR="009D05DD" w:rsidRPr="009D05DD" w:rsidRDefault="009D05DD" w:rsidP="009D05DD">
      <w:pPr>
        <w:spacing w:beforeAutospacing="1" w:afterAutospacing="1"/>
        <w:jc w:val="right"/>
      </w:pPr>
      <w:r w:rsidRPr="009D05DD">
        <w:rPr>
          <w:b/>
          <w:bCs/>
          <w:sz w:val="27"/>
          <w:szCs w:val="27"/>
          <w:lang w:val="pt-PT"/>
        </w:rPr>
        <w:t>Denis Libert Westphalen</w:t>
      </w:r>
      <w:r w:rsidRPr="009D05DD">
        <w:rPr>
          <w:b/>
          <w:bCs/>
          <w:sz w:val="36"/>
          <w:szCs w:val="36"/>
          <w:lang w:val="pt-PT"/>
        </w:rPr>
        <w:br/>
      </w:r>
      <w:r w:rsidRPr="009D05DD">
        <w:rPr>
          <w:sz w:val="27"/>
          <w:szCs w:val="27"/>
          <w:lang w:val="pt-PT"/>
        </w:rPr>
        <w:t xml:space="preserve">Dep. de Engenharia Química e Alimentos </w:t>
      </w:r>
      <w:r w:rsidRPr="009D05DD">
        <w:rPr>
          <w:sz w:val="27"/>
          <w:szCs w:val="27"/>
          <w:lang w:val="pt-PT"/>
        </w:rPr>
        <w:br/>
        <w:t>Escola de Engenharia Mauá – IMT</w:t>
      </w:r>
      <w:r w:rsidRPr="009D05DD">
        <w:rPr>
          <w:sz w:val="27"/>
          <w:szCs w:val="27"/>
          <w:lang w:val="pt-PT"/>
        </w:rPr>
        <w:br/>
        <w:t xml:space="preserve">Estrada das Lágrimas, 2035, CEP 09580-900 </w:t>
      </w:r>
      <w:r w:rsidRPr="009D05DD">
        <w:rPr>
          <w:sz w:val="27"/>
          <w:szCs w:val="27"/>
          <w:lang w:val="pt-PT"/>
        </w:rPr>
        <w:br/>
        <w:t>São Caetano do Sul – SP</w:t>
      </w:r>
      <w:r w:rsidRPr="009D05DD">
        <w:rPr>
          <w:sz w:val="27"/>
          <w:szCs w:val="27"/>
          <w:lang w:val="pt-PT"/>
        </w:rPr>
        <w:br/>
        <w:t xml:space="preserve">e-mail: </w:t>
      </w:r>
      <w:hyperlink r:id="rId5" w:history="1">
        <w:r w:rsidRPr="009D05DD">
          <w:rPr>
            <w:color w:val="0000FF"/>
            <w:sz w:val="27"/>
            <w:szCs w:val="27"/>
            <w:u w:val="single"/>
            <w:lang w:val="pt-PT"/>
          </w:rPr>
          <w:t>dlw@maua.br</w:t>
        </w:r>
      </w:hyperlink>
    </w:p>
    <w:p w:rsidR="009D05DD" w:rsidRPr="009D05DD" w:rsidRDefault="009D05DD" w:rsidP="009D05DD">
      <w:pPr>
        <w:spacing w:before="100" w:beforeAutospacing="1" w:after="100" w:afterAutospacing="1"/>
        <w:outlineLvl w:val="0"/>
        <w:rPr>
          <w:b/>
          <w:bCs/>
          <w:kern w:val="36"/>
          <w:sz w:val="48"/>
          <w:szCs w:val="48"/>
        </w:rPr>
      </w:pPr>
      <w:r w:rsidRPr="009D05DD">
        <w:rPr>
          <w:b/>
          <w:bCs/>
          <w:kern w:val="36"/>
          <w:sz w:val="48"/>
          <w:szCs w:val="48"/>
        </w:rPr>
        <w:t> </w:t>
      </w:r>
    </w:p>
    <w:p w:rsidR="009D05DD" w:rsidRPr="009D05DD" w:rsidRDefault="009D05DD" w:rsidP="009D05DD">
      <w:pPr>
        <w:spacing w:beforeAutospacing="1" w:after="100" w:afterAutospacing="1"/>
        <w:outlineLvl w:val="0"/>
        <w:rPr>
          <w:b/>
          <w:bCs/>
          <w:kern w:val="36"/>
          <w:sz w:val="48"/>
          <w:szCs w:val="48"/>
        </w:rPr>
      </w:pPr>
      <w:r w:rsidRPr="009D05DD">
        <w:rPr>
          <w:b/>
          <w:bCs/>
          <w:kern w:val="36"/>
          <w:sz w:val="27"/>
          <w:szCs w:val="27"/>
          <w:lang w:val="pt-PT"/>
        </w:rPr>
        <w:t>Introdução</w:t>
      </w:r>
    </w:p>
    <w:p w:rsidR="009D05DD" w:rsidRPr="009D05DD" w:rsidRDefault="009D05DD" w:rsidP="009D05DD">
      <w:pPr>
        <w:spacing w:before="100" w:beforeAutospacing="1" w:after="100" w:afterAutospacing="1"/>
      </w:pPr>
      <w:r w:rsidRPr="009D05DD">
        <w:rPr>
          <w:sz w:val="27"/>
          <w:szCs w:val="27"/>
        </w:rPr>
        <w:t xml:space="preserve">         Quando um soluto não volátil é dissolvido em água, observa-se que a temperatura de ebulição da solução formada é superior ao valor da temperatura de ebulição da água pura. Este fenômeno é denominado elevação do ponto de ebulição. Informações sobre a elevação do ponto de ebulição de soluções são fundamentais para o projeto e resolução de equações de balanço de diversos tipos de equipamentos da indústria química, em particular evaporadores múltiplo-efeito. Algumas equações podem ser encontradas na literatura para predição deste parâmetro, porém sua validade é restrita a soluções diluídas ou soluções ideais. Tais hipóteses não podem ser aceitas na grande maioria dos processos de interesse industrial. No caso de evaporadores, deseja-se aumentar o teor de sólidos de um determinado licor até valores onde uma solução nunca poderia ser considera diluída. Além disto, cita-se o exemplo da concentração de soluções de sais, que não podem ser admitidas como soluções ideais. Desta forma, torna-se necessário o uso de dados experimentais da elevação do ponto de ebulição, em função da concentração de sólidos e pressão. </w:t>
      </w:r>
    </w:p>
    <w:p w:rsidR="009D05DD" w:rsidRPr="009D05DD" w:rsidRDefault="009D05DD" w:rsidP="009D05DD">
      <w:pPr>
        <w:spacing w:before="100" w:beforeAutospacing="1" w:after="100" w:afterAutospacing="1"/>
      </w:pPr>
      <w:r w:rsidRPr="009D05DD">
        <w:rPr>
          <w:sz w:val="27"/>
          <w:szCs w:val="27"/>
        </w:rPr>
        <w:t xml:space="preserve">         Efetuando-se uma busca na literatura, nota-se uma grande dificuldade em </w:t>
      </w:r>
      <w:proofErr w:type="gramStart"/>
      <w:r w:rsidRPr="009D05DD">
        <w:rPr>
          <w:sz w:val="27"/>
          <w:szCs w:val="27"/>
        </w:rPr>
        <w:t>encontrar-se</w:t>
      </w:r>
      <w:proofErr w:type="gramEnd"/>
      <w:r w:rsidRPr="009D05DD">
        <w:rPr>
          <w:sz w:val="27"/>
          <w:szCs w:val="27"/>
        </w:rPr>
        <w:t xml:space="preserve"> valores deste parâmetro. No capítulo 2 do “Perry” (</w:t>
      </w:r>
      <w:proofErr w:type="gramStart"/>
      <w:r w:rsidRPr="009D05DD">
        <w:rPr>
          <w:sz w:val="27"/>
          <w:szCs w:val="27"/>
        </w:rPr>
        <w:t>7a.</w:t>
      </w:r>
      <w:proofErr w:type="gramEnd"/>
      <w:r w:rsidRPr="009D05DD">
        <w:rPr>
          <w:sz w:val="27"/>
          <w:szCs w:val="27"/>
        </w:rPr>
        <w:t xml:space="preserve"> edição) [1], que trata especificamente de propriedades físicas, nenhum dado de elevação do ponto de ebulição pode ser encontrado. Alguns livros na área de operações unitárias, no capítulo referente ao tópico Evaporação, apresentam dados da elevação do ponto de ebulição apenas de soluções de hidróxido de sódio em água, numa forma gráfica denominada Diagrama de </w:t>
      </w:r>
      <w:proofErr w:type="spellStart"/>
      <w:r w:rsidRPr="009D05DD">
        <w:rPr>
          <w:sz w:val="27"/>
          <w:szCs w:val="27"/>
        </w:rPr>
        <w:t>Duhring</w:t>
      </w:r>
      <w:proofErr w:type="spellEnd"/>
      <w:r w:rsidRPr="009D05DD">
        <w:rPr>
          <w:sz w:val="27"/>
          <w:szCs w:val="27"/>
        </w:rPr>
        <w:t xml:space="preserve"> [2]. Neste contexto, este trabalho tem como objetivo apresentar um procedimento para calcular a elevação do ponto de ebulição a partir de dados de pressão parcial da água sobre </w:t>
      </w:r>
      <w:r w:rsidRPr="009D05DD">
        <w:rPr>
          <w:sz w:val="27"/>
          <w:szCs w:val="27"/>
        </w:rPr>
        <w:lastRenderedPageBreak/>
        <w:t xml:space="preserve">soluções. Informações da pressão parcial da água podem ser </w:t>
      </w:r>
      <w:proofErr w:type="gramStart"/>
      <w:r w:rsidRPr="009D05DD">
        <w:rPr>
          <w:sz w:val="27"/>
          <w:szCs w:val="27"/>
        </w:rPr>
        <w:t>encontrados com relativa facilidade</w:t>
      </w:r>
      <w:proofErr w:type="gramEnd"/>
      <w:r w:rsidRPr="009D05DD">
        <w:rPr>
          <w:sz w:val="27"/>
          <w:szCs w:val="27"/>
        </w:rPr>
        <w:t xml:space="preserve"> para um grande número de soluções aquosas.</w:t>
      </w:r>
    </w:p>
    <w:p w:rsidR="009D05DD" w:rsidRPr="009D05DD" w:rsidRDefault="009D05DD" w:rsidP="009D05DD">
      <w:pPr>
        <w:spacing w:before="100" w:beforeAutospacing="1" w:after="100" w:afterAutospacing="1"/>
        <w:outlineLvl w:val="1"/>
        <w:rPr>
          <w:b/>
          <w:bCs/>
          <w:sz w:val="36"/>
          <w:szCs w:val="36"/>
        </w:rPr>
      </w:pPr>
      <w:r w:rsidRPr="009D05DD">
        <w:rPr>
          <w:b/>
          <w:bCs/>
          <w:sz w:val="27"/>
          <w:szCs w:val="27"/>
          <w:lang w:val="pt-PT"/>
        </w:rPr>
        <w:t>Relação entre pressão parcial e elevação do ponto de ebulição</w:t>
      </w:r>
    </w:p>
    <w:p w:rsidR="009D05DD" w:rsidRPr="009D05DD" w:rsidRDefault="009D05DD" w:rsidP="009D05DD">
      <w:pPr>
        <w:spacing w:before="100" w:beforeAutospacing="1" w:after="100" w:afterAutospacing="1"/>
      </w:pPr>
      <w:r w:rsidRPr="009D05DD">
        <w:rPr>
          <w:sz w:val="27"/>
          <w:szCs w:val="27"/>
        </w:rPr>
        <w:t xml:space="preserve">         A Lei de </w:t>
      </w:r>
      <w:proofErr w:type="spellStart"/>
      <w:r w:rsidRPr="009D05DD">
        <w:rPr>
          <w:sz w:val="27"/>
          <w:szCs w:val="27"/>
        </w:rPr>
        <w:t>Raoult</w:t>
      </w:r>
      <w:proofErr w:type="spellEnd"/>
      <w:r w:rsidRPr="009D05DD">
        <w:rPr>
          <w:sz w:val="27"/>
          <w:szCs w:val="27"/>
        </w:rPr>
        <w:t xml:space="preserve"> estabelece que em soluções ideais, a pressão parcial de um componente numa solução é dada pelo produto de sua fração molar e sua pressão de vapor na temperatura da solução. Assim, quanto maior for </w:t>
      </w:r>
      <w:proofErr w:type="gramStart"/>
      <w:r w:rsidRPr="009D05DD">
        <w:rPr>
          <w:sz w:val="27"/>
          <w:szCs w:val="27"/>
        </w:rPr>
        <w:t>a</w:t>
      </w:r>
      <w:proofErr w:type="gramEnd"/>
      <w:r w:rsidRPr="009D05DD">
        <w:rPr>
          <w:sz w:val="27"/>
          <w:szCs w:val="27"/>
        </w:rPr>
        <w:t xml:space="preserve"> concentração de um determinado soluto dissolvido em água, menor será a fração molar da água na solução e, consequentemente, menor será o valor da pressão parcial da água. Admitindo que o soluto seja </w:t>
      </w:r>
      <w:proofErr w:type="gramStart"/>
      <w:r w:rsidRPr="009D05DD">
        <w:rPr>
          <w:sz w:val="27"/>
          <w:szCs w:val="27"/>
        </w:rPr>
        <w:t>não-volátil</w:t>
      </w:r>
      <w:proofErr w:type="gramEnd"/>
      <w:r w:rsidRPr="009D05DD">
        <w:rPr>
          <w:sz w:val="27"/>
          <w:szCs w:val="27"/>
        </w:rPr>
        <w:t>, a solução entrará em ebulição quando a pressão parcial da água se igualar com a pressão do sistema. Para que isto ocorra, é necessário que a solução seja aquecida até uma temperatura superior à temperatura de ebulição da água pura.</w:t>
      </w:r>
    </w:p>
    <w:p w:rsidR="009D05DD" w:rsidRPr="009D05DD" w:rsidRDefault="009D05DD" w:rsidP="009D05DD">
      <w:pPr>
        <w:spacing w:before="100" w:beforeAutospacing="1" w:after="100" w:afterAutospacing="1"/>
      </w:pPr>
      <w:r w:rsidRPr="009D05DD">
        <w:rPr>
          <w:sz w:val="27"/>
          <w:szCs w:val="27"/>
        </w:rPr>
        <w:t>         Tomemos, por exemplo, os dados de pressão parcial da água sobre soluções aquosas de hidróxido de sódio, apresentados na Tabela 2-27 do “Perry” (</w:t>
      </w:r>
      <w:proofErr w:type="gramStart"/>
      <w:r w:rsidRPr="009D05DD">
        <w:rPr>
          <w:sz w:val="27"/>
          <w:szCs w:val="27"/>
        </w:rPr>
        <w:t>7a.</w:t>
      </w:r>
      <w:proofErr w:type="gramEnd"/>
      <w:r w:rsidRPr="009D05DD">
        <w:rPr>
          <w:sz w:val="27"/>
          <w:szCs w:val="27"/>
        </w:rPr>
        <w:t xml:space="preserve"> edição). Os valores desta tabela na faixa de 40 a 120°C estão reproduzidos na Tabela 1.</w:t>
      </w:r>
    </w:p>
    <w:p w:rsidR="009D05DD" w:rsidRPr="009D05DD" w:rsidRDefault="009D05DD" w:rsidP="009D05DD">
      <w:pPr>
        <w:spacing w:before="100" w:beforeAutospacing="1" w:afterAutospacing="1"/>
        <w:jc w:val="center"/>
      </w:pPr>
      <w:r w:rsidRPr="009D05DD">
        <w:rPr>
          <w:sz w:val="27"/>
          <w:szCs w:val="27"/>
        </w:rPr>
        <w:t>Tabela 1. Pressão parcial da água sobre soluções aquosas de hidróxido de sódio (</w:t>
      </w:r>
      <w:proofErr w:type="gramStart"/>
      <w:r w:rsidRPr="009D05DD">
        <w:rPr>
          <w:sz w:val="27"/>
          <w:szCs w:val="27"/>
        </w:rPr>
        <w:t>mmHg</w:t>
      </w:r>
      <w:proofErr w:type="gramEnd"/>
      <w:r w:rsidRPr="009D05DD">
        <w:rPr>
          <w:sz w:val="27"/>
          <w:szCs w:val="27"/>
        </w:rPr>
        <w:t>)</w:t>
      </w:r>
    </w:p>
    <w:tbl>
      <w:tblPr>
        <w:tblW w:w="0" w:type="auto"/>
        <w:jc w:val="center"/>
        <w:tblCellSpacing w:w="0" w:type="dxa"/>
        <w:tblCellMar>
          <w:left w:w="0" w:type="dxa"/>
          <w:right w:w="0" w:type="dxa"/>
        </w:tblCellMar>
        <w:tblLook w:val="04A0" w:firstRow="1" w:lastRow="0" w:firstColumn="1" w:lastColumn="0" w:noHBand="0" w:noVBand="1"/>
      </w:tblPr>
      <w:tblGrid>
        <w:gridCol w:w="15"/>
        <w:gridCol w:w="1125"/>
        <w:gridCol w:w="15"/>
        <w:gridCol w:w="840"/>
        <w:gridCol w:w="15"/>
        <w:gridCol w:w="1050"/>
        <w:gridCol w:w="15"/>
        <w:gridCol w:w="960"/>
        <w:gridCol w:w="15"/>
        <w:gridCol w:w="1035"/>
        <w:gridCol w:w="15"/>
        <w:gridCol w:w="1140"/>
        <w:gridCol w:w="15"/>
        <w:gridCol w:w="1065"/>
      </w:tblGrid>
      <w:tr w:rsidR="009D05DD" w:rsidRPr="009D05DD" w:rsidTr="009D05DD">
        <w:trPr>
          <w:tblCellSpacing w:w="0" w:type="dxa"/>
          <w:jc w:val="center"/>
        </w:trPr>
        <w:tc>
          <w:tcPr>
            <w:tcW w:w="1140" w:type="dxa"/>
            <w:gridSpan w:val="2"/>
            <w:hideMark/>
          </w:tcPr>
          <w:p w:rsidR="009D05DD" w:rsidRPr="009D05DD" w:rsidRDefault="009D05DD" w:rsidP="009D05DD">
            <w:pPr>
              <w:spacing w:before="100" w:beforeAutospacing="1" w:after="100" w:afterAutospacing="1"/>
              <w:jc w:val="center"/>
            </w:pPr>
            <w:r w:rsidRPr="009D05DD">
              <w:rPr>
                <w:sz w:val="20"/>
                <w:szCs w:val="20"/>
              </w:rPr>
              <w:t xml:space="preserve">Concentração g </w:t>
            </w:r>
            <w:proofErr w:type="spellStart"/>
            <w:proofErr w:type="gramStart"/>
            <w:r w:rsidRPr="009D05DD">
              <w:rPr>
                <w:sz w:val="20"/>
                <w:szCs w:val="20"/>
              </w:rPr>
              <w:t>NaOH</w:t>
            </w:r>
            <w:proofErr w:type="spellEnd"/>
            <w:proofErr w:type="gramEnd"/>
            <w:r w:rsidRPr="009D05DD">
              <w:rPr>
                <w:sz w:val="20"/>
                <w:szCs w:val="20"/>
              </w:rPr>
              <w:t>/</w:t>
            </w:r>
          </w:p>
          <w:p w:rsidR="009D05DD" w:rsidRPr="009D05DD" w:rsidRDefault="009D05DD" w:rsidP="009D05DD">
            <w:pPr>
              <w:spacing w:before="100" w:beforeAutospacing="1" w:after="100" w:afterAutospacing="1"/>
            </w:pPr>
            <w:r w:rsidRPr="009D05DD">
              <w:rPr>
                <w:sz w:val="20"/>
                <w:szCs w:val="20"/>
              </w:rPr>
              <w:t>100 g H</w:t>
            </w:r>
            <w:r w:rsidRPr="009D05DD">
              <w:rPr>
                <w:sz w:val="20"/>
                <w:szCs w:val="20"/>
                <w:vertAlign w:val="subscript"/>
              </w:rPr>
              <w:t>2</w:t>
            </w:r>
            <w:r w:rsidRPr="009D05DD">
              <w:rPr>
                <w:sz w:val="20"/>
                <w:szCs w:val="20"/>
              </w:rPr>
              <w:t>O</w:t>
            </w:r>
          </w:p>
        </w:tc>
        <w:tc>
          <w:tcPr>
            <w:tcW w:w="6165" w:type="dxa"/>
            <w:gridSpan w:val="12"/>
            <w:hideMark/>
          </w:tcPr>
          <w:p w:rsidR="009D05DD" w:rsidRPr="009D05DD" w:rsidRDefault="009D05DD" w:rsidP="009D05DD">
            <w:pPr>
              <w:spacing w:before="100" w:beforeAutospacing="1" w:after="100" w:afterAutospacing="1"/>
              <w:jc w:val="center"/>
            </w:pPr>
            <w:r w:rsidRPr="009D05DD">
              <w:t>Temperatura (°C)</w:t>
            </w:r>
          </w:p>
        </w:tc>
      </w:tr>
      <w:tr w:rsidR="009D05DD" w:rsidRPr="009D05DD" w:rsidTr="009D05DD">
        <w:trPr>
          <w:tblCellSpacing w:w="0" w:type="dxa"/>
          <w:jc w:val="center"/>
        </w:trPr>
        <w:tc>
          <w:tcPr>
            <w:tcW w:w="1140" w:type="dxa"/>
            <w:gridSpan w:val="2"/>
            <w:hideMark/>
          </w:tcPr>
          <w:p w:rsidR="009D05DD" w:rsidRPr="009D05DD" w:rsidRDefault="009D05DD" w:rsidP="009D05DD"/>
        </w:tc>
        <w:tc>
          <w:tcPr>
            <w:tcW w:w="855" w:type="dxa"/>
            <w:gridSpan w:val="2"/>
            <w:hideMark/>
          </w:tcPr>
          <w:p w:rsidR="009D05DD" w:rsidRPr="009D05DD" w:rsidRDefault="009D05DD" w:rsidP="009D05DD">
            <w:pPr>
              <w:spacing w:before="100" w:beforeAutospacing="1" w:after="100" w:afterAutospacing="1"/>
              <w:jc w:val="center"/>
            </w:pPr>
            <w:r w:rsidRPr="009D05DD">
              <w:t>40</w:t>
            </w:r>
          </w:p>
        </w:tc>
        <w:tc>
          <w:tcPr>
            <w:tcW w:w="1065" w:type="dxa"/>
            <w:gridSpan w:val="2"/>
            <w:hideMark/>
          </w:tcPr>
          <w:p w:rsidR="009D05DD" w:rsidRPr="009D05DD" w:rsidRDefault="009D05DD" w:rsidP="009D05DD">
            <w:pPr>
              <w:spacing w:before="100" w:beforeAutospacing="1" w:after="100" w:afterAutospacing="1"/>
              <w:jc w:val="center"/>
            </w:pPr>
            <w:r w:rsidRPr="009D05DD">
              <w:t>60</w:t>
            </w:r>
          </w:p>
        </w:tc>
        <w:tc>
          <w:tcPr>
            <w:tcW w:w="975" w:type="dxa"/>
            <w:gridSpan w:val="2"/>
            <w:hideMark/>
          </w:tcPr>
          <w:p w:rsidR="009D05DD" w:rsidRPr="009D05DD" w:rsidRDefault="009D05DD" w:rsidP="009D05DD">
            <w:pPr>
              <w:spacing w:before="100" w:beforeAutospacing="1" w:after="100" w:afterAutospacing="1"/>
              <w:jc w:val="center"/>
            </w:pPr>
            <w:r w:rsidRPr="009D05DD">
              <w:t>80</w:t>
            </w:r>
          </w:p>
        </w:tc>
        <w:tc>
          <w:tcPr>
            <w:tcW w:w="1050" w:type="dxa"/>
            <w:gridSpan w:val="2"/>
            <w:hideMark/>
          </w:tcPr>
          <w:p w:rsidR="009D05DD" w:rsidRPr="009D05DD" w:rsidRDefault="009D05DD" w:rsidP="009D05DD">
            <w:pPr>
              <w:spacing w:before="100" w:beforeAutospacing="1" w:after="100" w:afterAutospacing="1"/>
              <w:jc w:val="center"/>
            </w:pPr>
            <w:r w:rsidRPr="009D05DD">
              <w:t>100</w:t>
            </w:r>
          </w:p>
        </w:tc>
        <w:tc>
          <w:tcPr>
            <w:tcW w:w="1155" w:type="dxa"/>
            <w:gridSpan w:val="2"/>
            <w:hideMark/>
          </w:tcPr>
          <w:p w:rsidR="009D05DD" w:rsidRPr="009D05DD" w:rsidRDefault="009D05DD" w:rsidP="009D05DD">
            <w:pPr>
              <w:spacing w:before="100" w:beforeAutospacing="1" w:after="100" w:afterAutospacing="1"/>
              <w:jc w:val="center"/>
            </w:pPr>
            <w:r w:rsidRPr="009D05DD">
              <w:t>120</w:t>
            </w:r>
          </w:p>
        </w:tc>
        <w:tc>
          <w:tcPr>
            <w:tcW w:w="1080" w:type="dxa"/>
            <w:gridSpan w:val="2"/>
            <w:hideMark/>
          </w:tcPr>
          <w:p w:rsidR="009D05DD" w:rsidRPr="009D05DD" w:rsidRDefault="009D05DD" w:rsidP="009D05DD">
            <w:pPr>
              <w:spacing w:before="100" w:beforeAutospacing="1" w:after="100" w:afterAutospacing="1"/>
              <w:jc w:val="center"/>
            </w:pPr>
            <w:r w:rsidRPr="009D05DD">
              <w:t>160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proofErr w:type="gramStart"/>
            <w:r w:rsidRPr="009D05DD">
              <w:rPr>
                <w:color w:val="000000"/>
                <w:lang w:val="pt-PT"/>
              </w:rPr>
              <w:t>0</w:t>
            </w:r>
            <w:proofErr w:type="gramEnd"/>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55,3</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149,5</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355,5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760,0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1489,0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4633,0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proofErr w:type="gramStart"/>
            <w:r w:rsidRPr="009D05DD">
              <w:rPr>
                <w:color w:val="000000"/>
                <w:lang w:val="pt-PT"/>
              </w:rPr>
              <w:t>5</w:t>
            </w:r>
            <w:proofErr w:type="gramEnd"/>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53,2</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143,5</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341,5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730,0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1430,0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4450,0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10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50,6</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137,0</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325,5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697,0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1365,0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4260,0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20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44,2</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120,5</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288,5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621,0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1225,0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3860,0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30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36,6</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101,0</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246,0</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537,0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1070,0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3460,0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40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28,7</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81,0</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202,0</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450,0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920,0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3090,0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50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20,7</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62,5</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160,5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368,0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770,0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2690,0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60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15,5</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47,0</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124,0</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294,0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635,0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2340,0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70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10,9</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34,5</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94,0</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231,0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515,0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2030,0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80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7,6</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24,5</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70,5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179,0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415,0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1740,0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90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5,2</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17,5</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53,0</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138,0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330,0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1490,0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100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3,6</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12,5</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38,5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105,0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262,0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1300,0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120</w:t>
            </w:r>
          </w:p>
        </w:tc>
        <w:tc>
          <w:tcPr>
            <w:tcW w:w="855" w:type="dxa"/>
            <w:gridSpan w:val="2"/>
            <w:hideMark/>
          </w:tcPr>
          <w:p w:rsidR="009D05DD" w:rsidRPr="009D05DD" w:rsidRDefault="009D05DD" w:rsidP="009D05DD">
            <w:pPr>
              <w:spacing w:before="100" w:beforeAutospacing="1" w:after="100" w:afterAutospacing="1"/>
              <w:jc w:val="right"/>
            </w:pPr>
            <w:r w:rsidRPr="009D05DD">
              <w:rPr>
                <w:color w:val="000000"/>
                <w:lang w:val="pt-PT"/>
              </w:rPr>
              <w:t>1,7</w:t>
            </w:r>
          </w:p>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6,3</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20,5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61,0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164,0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915,0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140</w:t>
            </w:r>
          </w:p>
        </w:tc>
        <w:tc>
          <w:tcPr>
            <w:tcW w:w="855" w:type="dxa"/>
            <w:gridSpan w:val="2"/>
            <w:hideMark/>
          </w:tcPr>
          <w:p w:rsidR="009D05DD" w:rsidRPr="009D05DD" w:rsidRDefault="009D05DD" w:rsidP="009D05DD"/>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3,0</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11,0</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35,5</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102,0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765,0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160</w:t>
            </w:r>
          </w:p>
        </w:tc>
        <w:tc>
          <w:tcPr>
            <w:tcW w:w="855" w:type="dxa"/>
            <w:gridSpan w:val="2"/>
            <w:hideMark/>
          </w:tcPr>
          <w:p w:rsidR="009D05DD" w:rsidRPr="009D05DD" w:rsidRDefault="009D05DD" w:rsidP="009D05DD"/>
        </w:tc>
        <w:tc>
          <w:tcPr>
            <w:tcW w:w="1065" w:type="dxa"/>
            <w:gridSpan w:val="2"/>
            <w:hideMark/>
          </w:tcPr>
          <w:p w:rsidR="009D05DD" w:rsidRPr="009D05DD" w:rsidRDefault="009D05DD" w:rsidP="009D05DD">
            <w:pPr>
              <w:spacing w:before="100" w:beforeAutospacing="1" w:after="100" w:afterAutospacing="1"/>
              <w:jc w:val="right"/>
            </w:pPr>
            <w:r w:rsidRPr="009D05DD">
              <w:rPr>
                <w:color w:val="000000"/>
                <w:lang w:val="pt-PT"/>
              </w:rPr>
              <w:t>1,5</w:t>
            </w:r>
          </w:p>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6,0</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20,5</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63,0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470,0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180</w:t>
            </w:r>
          </w:p>
        </w:tc>
        <w:tc>
          <w:tcPr>
            <w:tcW w:w="855" w:type="dxa"/>
            <w:gridSpan w:val="2"/>
            <w:hideMark/>
          </w:tcPr>
          <w:p w:rsidR="009D05DD" w:rsidRPr="009D05DD" w:rsidRDefault="009D05DD" w:rsidP="009D05DD"/>
        </w:tc>
        <w:tc>
          <w:tcPr>
            <w:tcW w:w="1065" w:type="dxa"/>
            <w:gridSpan w:val="2"/>
            <w:hideMark/>
          </w:tcPr>
          <w:p w:rsidR="009D05DD" w:rsidRPr="009D05DD" w:rsidRDefault="009D05DD" w:rsidP="009D05DD"/>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3,5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12,0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40,0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340,0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200</w:t>
            </w:r>
          </w:p>
        </w:tc>
        <w:tc>
          <w:tcPr>
            <w:tcW w:w="855" w:type="dxa"/>
            <w:gridSpan w:val="2"/>
            <w:hideMark/>
          </w:tcPr>
          <w:p w:rsidR="009D05DD" w:rsidRPr="009D05DD" w:rsidRDefault="009D05DD" w:rsidP="009D05DD"/>
        </w:tc>
        <w:tc>
          <w:tcPr>
            <w:tcW w:w="1065" w:type="dxa"/>
            <w:gridSpan w:val="2"/>
            <w:hideMark/>
          </w:tcPr>
          <w:p w:rsidR="009D05DD" w:rsidRPr="009D05DD" w:rsidRDefault="009D05DD" w:rsidP="009D05DD"/>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2,0</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7,0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25,0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245,0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250</w:t>
            </w:r>
          </w:p>
        </w:tc>
        <w:tc>
          <w:tcPr>
            <w:tcW w:w="855" w:type="dxa"/>
            <w:gridSpan w:val="2"/>
            <w:hideMark/>
          </w:tcPr>
          <w:p w:rsidR="009D05DD" w:rsidRPr="009D05DD" w:rsidRDefault="009D05DD" w:rsidP="009D05DD"/>
        </w:tc>
        <w:tc>
          <w:tcPr>
            <w:tcW w:w="1065" w:type="dxa"/>
            <w:gridSpan w:val="2"/>
            <w:hideMark/>
          </w:tcPr>
          <w:p w:rsidR="009D05DD" w:rsidRPr="009D05DD" w:rsidRDefault="009D05DD" w:rsidP="009D05DD"/>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0,5</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2,0</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8,0</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110,0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300</w:t>
            </w:r>
          </w:p>
        </w:tc>
        <w:tc>
          <w:tcPr>
            <w:tcW w:w="855" w:type="dxa"/>
            <w:gridSpan w:val="2"/>
            <w:hideMark/>
          </w:tcPr>
          <w:p w:rsidR="009D05DD" w:rsidRPr="009D05DD" w:rsidRDefault="009D05DD" w:rsidP="009D05DD"/>
        </w:tc>
        <w:tc>
          <w:tcPr>
            <w:tcW w:w="1065" w:type="dxa"/>
            <w:gridSpan w:val="2"/>
            <w:hideMark/>
          </w:tcPr>
          <w:p w:rsidR="009D05DD" w:rsidRPr="009D05DD" w:rsidRDefault="009D05DD" w:rsidP="009D05DD"/>
        </w:tc>
        <w:tc>
          <w:tcPr>
            <w:tcW w:w="975" w:type="dxa"/>
            <w:gridSpan w:val="2"/>
            <w:hideMark/>
          </w:tcPr>
          <w:p w:rsidR="009D05DD" w:rsidRPr="009D05DD" w:rsidRDefault="009D05DD" w:rsidP="009D05DD">
            <w:pPr>
              <w:spacing w:before="100" w:beforeAutospacing="1" w:after="100" w:afterAutospacing="1"/>
              <w:jc w:val="right"/>
            </w:pPr>
            <w:r w:rsidRPr="009D05DD">
              <w:rPr>
                <w:color w:val="000000"/>
                <w:lang w:val="pt-PT"/>
              </w:rPr>
              <w:t>0,1</w:t>
            </w:r>
          </w:p>
        </w:tc>
        <w:tc>
          <w:tcPr>
            <w:tcW w:w="1050" w:type="dxa"/>
            <w:gridSpan w:val="2"/>
            <w:hideMark/>
          </w:tcPr>
          <w:p w:rsidR="009D05DD" w:rsidRPr="009D05DD" w:rsidRDefault="009D05DD" w:rsidP="009D05DD">
            <w:pPr>
              <w:spacing w:before="100" w:beforeAutospacing="1" w:after="100" w:afterAutospacing="1"/>
              <w:jc w:val="right"/>
            </w:pPr>
            <w:r w:rsidRPr="009D05DD">
              <w:rPr>
                <w:color w:val="000000"/>
                <w:lang w:val="pt-PT"/>
              </w:rPr>
              <w:t>0,5</w:t>
            </w:r>
          </w:p>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2,7</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50,0</w:t>
            </w:r>
          </w:p>
        </w:tc>
      </w:tr>
      <w:tr w:rsidR="009D05DD" w:rsidRPr="009D05DD" w:rsidTr="009D05DD">
        <w:trPr>
          <w:tblCellSpacing w:w="0" w:type="dxa"/>
          <w:jc w:val="center"/>
        </w:trPr>
        <w:tc>
          <w:tcPr>
            <w:tcW w:w="15" w:type="dxa"/>
            <w:vAlign w:val="center"/>
            <w:hideMark/>
          </w:tcPr>
          <w:p w:rsidR="009D05DD" w:rsidRPr="009D05DD" w:rsidRDefault="009D05DD" w:rsidP="009D05DD"/>
        </w:tc>
        <w:tc>
          <w:tcPr>
            <w:tcW w:w="1140" w:type="dxa"/>
            <w:gridSpan w:val="2"/>
            <w:hideMark/>
          </w:tcPr>
          <w:p w:rsidR="009D05DD" w:rsidRPr="009D05DD" w:rsidRDefault="009D05DD" w:rsidP="009D05DD">
            <w:pPr>
              <w:spacing w:before="100" w:beforeAutospacing="1" w:after="100" w:afterAutospacing="1"/>
              <w:jc w:val="right"/>
            </w:pPr>
            <w:r w:rsidRPr="009D05DD">
              <w:rPr>
                <w:color w:val="000000"/>
                <w:lang w:val="pt-PT"/>
              </w:rPr>
              <w:t>350</w:t>
            </w:r>
          </w:p>
        </w:tc>
        <w:tc>
          <w:tcPr>
            <w:tcW w:w="855" w:type="dxa"/>
            <w:gridSpan w:val="2"/>
            <w:hideMark/>
          </w:tcPr>
          <w:p w:rsidR="009D05DD" w:rsidRPr="009D05DD" w:rsidRDefault="009D05DD" w:rsidP="009D05DD"/>
        </w:tc>
        <w:tc>
          <w:tcPr>
            <w:tcW w:w="1065" w:type="dxa"/>
            <w:gridSpan w:val="2"/>
            <w:hideMark/>
          </w:tcPr>
          <w:p w:rsidR="009D05DD" w:rsidRPr="009D05DD" w:rsidRDefault="009D05DD" w:rsidP="009D05DD"/>
        </w:tc>
        <w:tc>
          <w:tcPr>
            <w:tcW w:w="975" w:type="dxa"/>
            <w:gridSpan w:val="2"/>
            <w:hideMark/>
          </w:tcPr>
          <w:p w:rsidR="009D05DD" w:rsidRPr="009D05DD" w:rsidRDefault="009D05DD" w:rsidP="009D05DD"/>
        </w:tc>
        <w:tc>
          <w:tcPr>
            <w:tcW w:w="1050" w:type="dxa"/>
            <w:gridSpan w:val="2"/>
            <w:hideMark/>
          </w:tcPr>
          <w:p w:rsidR="009D05DD" w:rsidRPr="009D05DD" w:rsidRDefault="009D05DD" w:rsidP="009D05DD"/>
        </w:tc>
        <w:tc>
          <w:tcPr>
            <w:tcW w:w="1155" w:type="dxa"/>
            <w:gridSpan w:val="2"/>
            <w:hideMark/>
          </w:tcPr>
          <w:p w:rsidR="009D05DD" w:rsidRPr="009D05DD" w:rsidRDefault="009D05DD" w:rsidP="009D05DD">
            <w:pPr>
              <w:spacing w:before="100" w:beforeAutospacing="1" w:after="100" w:afterAutospacing="1"/>
              <w:jc w:val="right"/>
            </w:pPr>
            <w:r w:rsidRPr="009D05DD">
              <w:rPr>
                <w:color w:val="000000"/>
                <w:lang w:val="pt-PT"/>
              </w:rPr>
              <w:t>0,9</w:t>
            </w:r>
          </w:p>
        </w:tc>
        <w:tc>
          <w:tcPr>
            <w:tcW w:w="1065" w:type="dxa"/>
            <w:hideMark/>
          </w:tcPr>
          <w:p w:rsidR="009D05DD" w:rsidRPr="009D05DD" w:rsidRDefault="009D05DD" w:rsidP="009D05DD">
            <w:pPr>
              <w:spacing w:before="100" w:beforeAutospacing="1" w:after="100" w:afterAutospacing="1"/>
              <w:jc w:val="right"/>
            </w:pPr>
            <w:r w:rsidRPr="009D05DD">
              <w:rPr>
                <w:color w:val="000000"/>
                <w:lang w:val="pt-PT"/>
              </w:rPr>
              <w:t>23,0</w:t>
            </w:r>
          </w:p>
        </w:tc>
      </w:tr>
      <w:tr w:rsidR="009D05DD" w:rsidRPr="009D05DD" w:rsidTr="009D05DD">
        <w:trPr>
          <w:tblCellSpacing w:w="0" w:type="dxa"/>
          <w:jc w:val="center"/>
        </w:trPr>
        <w:tc>
          <w:tcPr>
            <w:tcW w:w="15" w:type="dxa"/>
            <w:vAlign w:val="center"/>
            <w:hideMark/>
          </w:tcPr>
          <w:p w:rsidR="009D05DD" w:rsidRPr="009D05DD" w:rsidRDefault="009D05DD" w:rsidP="009D05DD">
            <w:pPr>
              <w:rPr>
                <w:sz w:val="1"/>
              </w:rPr>
            </w:pPr>
          </w:p>
        </w:tc>
        <w:tc>
          <w:tcPr>
            <w:tcW w:w="1125" w:type="dxa"/>
            <w:vAlign w:val="center"/>
            <w:hideMark/>
          </w:tcPr>
          <w:p w:rsidR="009D05DD" w:rsidRPr="009D05DD" w:rsidRDefault="009D05DD" w:rsidP="009D05DD">
            <w:pPr>
              <w:rPr>
                <w:sz w:val="1"/>
              </w:rPr>
            </w:pPr>
          </w:p>
        </w:tc>
        <w:tc>
          <w:tcPr>
            <w:tcW w:w="15" w:type="dxa"/>
            <w:vAlign w:val="center"/>
            <w:hideMark/>
          </w:tcPr>
          <w:p w:rsidR="009D05DD" w:rsidRPr="009D05DD" w:rsidRDefault="009D05DD" w:rsidP="009D05DD">
            <w:pPr>
              <w:rPr>
                <w:sz w:val="1"/>
              </w:rPr>
            </w:pPr>
          </w:p>
        </w:tc>
        <w:tc>
          <w:tcPr>
            <w:tcW w:w="840" w:type="dxa"/>
            <w:vAlign w:val="center"/>
            <w:hideMark/>
          </w:tcPr>
          <w:p w:rsidR="009D05DD" w:rsidRPr="009D05DD" w:rsidRDefault="009D05DD" w:rsidP="009D05DD">
            <w:pPr>
              <w:rPr>
                <w:sz w:val="1"/>
              </w:rPr>
            </w:pPr>
          </w:p>
        </w:tc>
        <w:tc>
          <w:tcPr>
            <w:tcW w:w="15" w:type="dxa"/>
            <w:vAlign w:val="center"/>
            <w:hideMark/>
          </w:tcPr>
          <w:p w:rsidR="009D05DD" w:rsidRPr="009D05DD" w:rsidRDefault="009D05DD" w:rsidP="009D05DD">
            <w:pPr>
              <w:rPr>
                <w:sz w:val="1"/>
              </w:rPr>
            </w:pPr>
          </w:p>
        </w:tc>
        <w:tc>
          <w:tcPr>
            <w:tcW w:w="1050" w:type="dxa"/>
            <w:vAlign w:val="center"/>
            <w:hideMark/>
          </w:tcPr>
          <w:p w:rsidR="009D05DD" w:rsidRPr="009D05DD" w:rsidRDefault="009D05DD" w:rsidP="009D05DD">
            <w:pPr>
              <w:rPr>
                <w:sz w:val="1"/>
              </w:rPr>
            </w:pPr>
          </w:p>
        </w:tc>
        <w:tc>
          <w:tcPr>
            <w:tcW w:w="15" w:type="dxa"/>
            <w:vAlign w:val="center"/>
            <w:hideMark/>
          </w:tcPr>
          <w:p w:rsidR="009D05DD" w:rsidRPr="009D05DD" w:rsidRDefault="009D05DD" w:rsidP="009D05DD">
            <w:pPr>
              <w:rPr>
                <w:sz w:val="1"/>
              </w:rPr>
            </w:pPr>
          </w:p>
        </w:tc>
        <w:tc>
          <w:tcPr>
            <w:tcW w:w="960" w:type="dxa"/>
            <w:vAlign w:val="center"/>
            <w:hideMark/>
          </w:tcPr>
          <w:p w:rsidR="009D05DD" w:rsidRPr="009D05DD" w:rsidRDefault="009D05DD" w:rsidP="009D05DD">
            <w:pPr>
              <w:rPr>
                <w:sz w:val="1"/>
              </w:rPr>
            </w:pPr>
          </w:p>
        </w:tc>
        <w:tc>
          <w:tcPr>
            <w:tcW w:w="15" w:type="dxa"/>
            <w:vAlign w:val="center"/>
            <w:hideMark/>
          </w:tcPr>
          <w:p w:rsidR="009D05DD" w:rsidRPr="009D05DD" w:rsidRDefault="009D05DD" w:rsidP="009D05DD">
            <w:pPr>
              <w:rPr>
                <w:sz w:val="1"/>
              </w:rPr>
            </w:pPr>
          </w:p>
        </w:tc>
        <w:tc>
          <w:tcPr>
            <w:tcW w:w="1035" w:type="dxa"/>
            <w:vAlign w:val="center"/>
            <w:hideMark/>
          </w:tcPr>
          <w:p w:rsidR="009D05DD" w:rsidRPr="009D05DD" w:rsidRDefault="009D05DD" w:rsidP="009D05DD">
            <w:pPr>
              <w:rPr>
                <w:sz w:val="1"/>
              </w:rPr>
            </w:pPr>
          </w:p>
        </w:tc>
        <w:tc>
          <w:tcPr>
            <w:tcW w:w="15" w:type="dxa"/>
            <w:vAlign w:val="center"/>
            <w:hideMark/>
          </w:tcPr>
          <w:p w:rsidR="009D05DD" w:rsidRPr="009D05DD" w:rsidRDefault="009D05DD" w:rsidP="009D05DD">
            <w:pPr>
              <w:rPr>
                <w:sz w:val="1"/>
              </w:rPr>
            </w:pPr>
          </w:p>
        </w:tc>
        <w:tc>
          <w:tcPr>
            <w:tcW w:w="1140" w:type="dxa"/>
            <w:vAlign w:val="center"/>
            <w:hideMark/>
          </w:tcPr>
          <w:p w:rsidR="009D05DD" w:rsidRPr="009D05DD" w:rsidRDefault="009D05DD" w:rsidP="009D05DD">
            <w:pPr>
              <w:rPr>
                <w:sz w:val="1"/>
              </w:rPr>
            </w:pPr>
          </w:p>
        </w:tc>
        <w:tc>
          <w:tcPr>
            <w:tcW w:w="15" w:type="dxa"/>
            <w:vAlign w:val="center"/>
            <w:hideMark/>
          </w:tcPr>
          <w:p w:rsidR="009D05DD" w:rsidRPr="009D05DD" w:rsidRDefault="009D05DD" w:rsidP="009D05DD">
            <w:pPr>
              <w:rPr>
                <w:sz w:val="1"/>
              </w:rPr>
            </w:pPr>
          </w:p>
        </w:tc>
        <w:tc>
          <w:tcPr>
            <w:tcW w:w="1065" w:type="dxa"/>
            <w:vAlign w:val="center"/>
            <w:hideMark/>
          </w:tcPr>
          <w:p w:rsidR="009D05DD" w:rsidRPr="009D05DD" w:rsidRDefault="009D05DD" w:rsidP="009D05DD">
            <w:pPr>
              <w:rPr>
                <w:sz w:val="1"/>
              </w:rPr>
            </w:pPr>
          </w:p>
        </w:tc>
      </w:tr>
    </w:tbl>
    <w:p w:rsidR="009D05DD" w:rsidRPr="009D05DD" w:rsidRDefault="009D05DD" w:rsidP="009D05DD">
      <w:pPr>
        <w:spacing w:beforeAutospacing="1" w:after="100" w:afterAutospacing="1"/>
      </w:pPr>
      <w:r w:rsidRPr="009D05DD">
        <w:rPr>
          <w:sz w:val="20"/>
          <w:szCs w:val="20"/>
        </w:rPr>
        <w:t>       </w:t>
      </w:r>
      <w:r w:rsidRPr="009D05DD">
        <w:rPr>
          <w:sz w:val="27"/>
          <w:szCs w:val="27"/>
        </w:rPr>
        <w:t xml:space="preserve">  Na concentração de 50 g </w:t>
      </w:r>
      <w:proofErr w:type="spellStart"/>
      <w:proofErr w:type="gramStart"/>
      <w:r w:rsidRPr="009D05DD">
        <w:rPr>
          <w:sz w:val="27"/>
          <w:szCs w:val="27"/>
        </w:rPr>
        <w:t>NaOH</w:t>
      </w:r>
      <w:proofErr w:type="spellEnd"/>
      <w:proofErr w:type="gramEnd"/>
      <w:r w:rsidRPr="009D05DD">
        <w:rPr>
          <w:sz w:val="27"/>
          <w:szCs w:val="27"/>
        </w:rPr>
        <w:t xml:space="preserve"> / 100 g H</w:t>
      </w:r>
      <w:r w:rsidRPr="009D05DD">
        <w:rPr>
          <w:vertAlign w:val="subscript"/>
          <w:lang w:val="pt-PT"/>
        </w:rPr>
        <w:t>2</w:t>
      </w:r>
      <w:r w:rsidRPr="009D05DD">
        <w:rPr>
          <w:sz w:val="27"/>
          <w:szCs w:val="27"/>
          <w:lang w:val="pt-PT"/>
        </w:rPr>
        <w:t xml:space="preserve">O, observa-mos que na temperatura de 80°C, a pressão parcial da água sobre esta solução é igual a 160,5 mmHg. </w:t>
      </w:r>
    </w:p>
    <w:p w:rsidR="009D05DD" w:rsidRPr="009D05DD" w:rsidRDefault="009D05DD" w:rsidP="009D05DD">
      <w:pPr>
        <w:spacing w:before="100" w:beforeAutospacing="1" w:after="100" w:afterAutospacing="1"/>
      </w:pPr>
      <w:r w:rsidRPr="009D05DD">
        <w:rPr>
          <w:sz w:val="27"/>
          <w:szCs w:val="27"/>
        </w:rPr>
        <w:t xml:space="preserve">         Isto significa que se esta solução estiver neste valor de pressão total, ela entrará em ebulição a 80°C. </w:t>
      </w:r>
    </w:p>
    <w:p w:rsidR="009D05DD" w:rsidRPr="009D05DD" w:rsidRDefault="009D05DD" w:rsidP="009D05DD">
      <w:pPr>
        <w:spacing w:before="100" w:beforeAutospacing="1" w:after="100" w:afterAutospacing="1"/>
      </w:pPr>
      <w:r w:rsidRPr="009D05DD">
        <w:rPr>
          <w:sz w:val="27"/>
          <w:szCs w:val="27"/>
        </w:rPr>
        <w:t xml:space="preserve">         Por outro lado, a temperatura de ebulição da água pura na pressão de 160,5 </w:t>
      </w:r>
      <w:proofErr w:type="gramStart"/>
      <w:r w:rsidRPr="009D05DD">
        <w:rPr>
          <w:sz w:val="27"/>
          <w:szCs w:val="27"/>
        </w:rPr>
        <w:t>mmHg</w:t>
      </w:r>
      <w:proofErr w:type="gramEnd"/>
      <w:r w:rsidRPr="009D05DD">
        <w:rPr>
          <w:sz w:val="27"/>
          <w:szCs w:val="27"/>
        </w:rPr>
        <w:t xml:space="preserve"> pode ser obtida a partir de tabelas com propriedades termodinâmicas do vapor d’água saturado, chegando-se ao valor igual a 61,52°C. </w:t>
      </w:r>
    </w:p>
    <w:p w:rsidR="009D05DD" w:rsidRPr="009D05DD" w:rsidRDefault="009D05DD" w:rsidP="009D05DD">
      <w:pPr>
        <w:spacing w:before="100" w:beforeAutospacing="1" w:after="100" w:afterAutospacing="1"/>
      </w:pPr>
      <w:r w:rsidRPr="009D05DD">
        <w:rPr>
          <w:sz w:val="27"/>
          <w:szCs w:val="27"/>
        </w:rPr>
        <w:t xml:space="preserve">         Conclui-se, então, que a elevação do ponto de ebulição para esta concentração, na pressão de 160,5 </w:t>
      </w:r>
      <w:proofErr w:type="gramStart"/>
      <w:r w:rsidRPr="009D05DD">
        <w:rPr>
          <w:sz w:val="27"/>
          <w:szCs w:val="27"/>
        </w:rPr>
        <w:t>mmHg</w:t>
      </w:r>
      <w:proofErr w:type="gramEnd"/>
      <w:r w:rsidRPr="009D05DD">
        <w:rPr>
          <w:sz w:val="27"/>
          <w:szCs w:val="27"/>
        </w:rPr>
        <w:t xml:space="preserve"> é:</w:t>
      </w:r>
    </w:p>
    <w:p w:rsidR="009D05DD" w:rsidRPr="009D05DD" w:rsidRDefault="009D05DD" w:rsidP="009D05DD">
      <w:pPr>
        <w:spacing w:before="100" w:beforeAutospacing="1" w:after="100" w:afterAutospacing="1"/>
      </w:pPr>
      <w:r w:rsidRPr="009D05DD">
        <w:rPr>
          <w:sz w:val="27"/>
          <w:szCs w:val="27"/>
          <w:lang w:val="pt-PT"/>
        </w:rPr>
        <w:t>80 – 61,52 = 18,45°C.</w:t>
      </w:r>
    </w:p>
    <w:p w:rsidR="009D05DD" w:rsidRPr="009D05DD" w:rsidRDefault="009D05DD" w:rsidP="009D05DD">
      <w:pPr>
        <w:spacing w:before="100" w:beforeAutospacing="1" w:after="100" w:afterAutospacing="1"/>
      </w:pPr>
      <w:r w:rsidRPr="009D05DD">
        <w:rPr>
          <w:sz w:val="20"/>
          <w:szCs w:val="20"/>
        </w:rPr>
        <w:t>        </w:t>
      </w:r>
      <w:r w:rsidRPr="009D05DD">
        <w:rPr>
          <w:sz w:val="27"/>
          <w:szCs w:val="27"/>
        </w:rPr>
        <w:t xml:space="preserve"> Seguindo o mesmo procedimento para todos os pontos da Tabela 1 pode-se montar a Tabela 2 que relaciona a elevação do ponto de ebulição de soluções aquosas de hidróxido de sódio em função de pressão e concentração de hidróxido de sódio. </w:t>
      </w:r>
    </w:p>
    <w:p w:rsidR="009D05DD" w:rsidRPr="009D05DD" w:rsidRDefault="009D05DD" w:rsidP="009D05DD">
      <w:pPr>
        <w:spacing w:before="100" w:beforeAutospacing="1" w:after="100" w:afterAutospacing="1"/>
      </w:pPr>
      <w:r w:rsidRPr="009D05DD">
        <w:rPr>
          <w:sz w:val="27"/>
          <w:szCs w:val="27"/>
        </w:rPr>
        <w:t xml:space="preserve">         Rearranjando-se estes dados, pode-se ainda construir o Diagrama de </w:t>
      </w:r>
      <w:proofErr w:type="spellStart"/>
      <w:r w:rsidRPr="009D05DD">
        <w:rPr>
          <w:sz w:val="27"/>
          <w:szCs w:val="27"/>
        </w:rPr>
        <w:t>Duhring</w:t>
      </w:r>
      <w:proofErr w:type="spellEnd"/>
      <w:r w:rsidRPr="009D05DD">
        <w:rPr>
          <w:sz w:val="27"/>
          <w:szCs w:val="27"/>
        </w:rPr>
        <w:t xml:space="preserve"> que relaciona a temperatura de ebulição da solução em função da temperatura de ebulição da água pura e da concentração de hidróxido de sódio, conforme mostrado na Figura 1.</w:t>
      </w:r>
    </w:p>
    <w:p w:rsidR="009D05DD" w:rsidRPr="009D05DD" w:rsidRDefault="009D05DD" w:rsidP="009D05DD">
      <w:pPr>
        <w:spacing w:before="100" w:beforeAutospacing="1" w:afterAutospacing="1"/>
        <w:jc w:val="center"/>
      </w:pPr>
      <w:r w:rsidRPr="009D05DD">
        <w:rPr>
          <w:sz w:val="27"/>
          <w:szCs w:val="27"/>
        </w:rPr>
        <w:t>Tab. 2. Elevação do ponto de ebulição de soluções aquosas de hidróxido de sódio (°C)</w:t>
      </w:r>
    </w:p>
    <w:tbl>
      <w:tblPr>
        <w:tblW w:w="0" w:type="auto"/>
        <w:jc w:val="center"/>
        <w:tblCellSpacing w:w="0" w:type="dxa"/>
        <w:tblCellMar>
          <w:left w:w="0" w:type="dxa"/>
          <w:right w:w="0" w:type="dxa"/>
        </w:tblCellMar>
        <w:tblLook w:val="04A0" w:firstRow="1" w:lastRow="0" w:firstColumn="1" w:lastColumn="0" w:noHBand="0" w:noVBand="1"/>
      </w:tblPr>
      <w:tblGrid>
        <w:gridCol w:w="1140"/>
        <w:gridCol w:w="1020"/>
        <w:gridCol w:w="1020"/>
        <w:gridCol w:w="1020"/>
        <w:gridCol w:w="1020"/>
        <w:gridCol w:w="1020"/>
        <w:gridCol w:w="1020"/>
      </w:tblGrid>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center"/>
            </w:pPr>
            <w:r w:rsidRPr="009D05DD">
              <w:rPr>
                <w:sz w:val="20"/>
                <w:szCs w:val="20"/>
              </w:rPr>
              <w:t xml:space="preserve">Porcentagem de </w:t>
            </w:r>
            <w:proofErr w:type="spellStart"/>
            <w:proofErr w:type="gramStart"/>
            <w:r w:rsidRPr="009D05DD">
              <w:rPr>
                <w:sz w:val="20"/>
                <w:szCs w:val="20"/>
              </w:rPr>
              <w:t>NaOH</w:t>
            </w:r>
            <w:proofErr w:type="spellEnd"/>
            <w:proofErr w:type="gramEnd"/>
          </w:p>
          <w:p w:rsidR="009D05DD" w:rsidRPr="009D05DD" w:rsidRDefault="009D05DD" w:rsidP="009D05DD">
            <w:pPr>
              <w:spacing w:before="100" w:beforeAutospacing="1" w:after="100" w:afterAutospacing="1"/>
              <w:jc w:val="center"/>
            </w:pPr>
            <w:r w:rsidRPr="009D05DD">
              <w:rPr>
                <w:sz w:val="20"/>
                <w:szCs w:val="20"/>
              </w:rPr>
              <w:t>(em peso)</w:t>
            </w:r>
          </w:p>
        </w:tc>
        <w:tc>
          <w:tcPr>
            <w:tcW w:w="6120" w:type="dxa"/>
            <w:gridSpan w:val="6"/>
            <w:hideMark/>
          </w:tcPr>
          <w:p w:rsidR="009D05DD" w:rsidRPr="009D05DD" w:rsidRDefault="009D05DD" w:rsidP="009D05DD">
            <w:pPr>
              <w:spacing w:before="100" w:beforeAutospacing="1" w:after="100" w:afterAutospacing="1"/>
              <w:jc w:val="center"/>
            </w:pPr>
            <w:r w:rsidRPr="009D05DD">
              <w:rPr>
                <w:sz w:val="27"/>
                <w:szCs w:val="27"/>
              </w:rPr>
              <w:t>Pressão (</w:t>
            </w:r>
            <w:proofErr w:type="gramStart"/>
            <w:r w:rsidRPr="009D05DD">
              <w:rPr>
                <w:sz w:val="27"/>
                <w:szCs w:val="27"/>
              </w:rPr>
              <w:t>kPa</w:t>
            </w:r>
            <w:proofErr w:type="gramEnd"/>
            <w:r w:rsidRPr="009D05DD">
              <w:rPr>
                <w:sz w:val="27"/>
                <w:szCs w:val="27"/>
              </w:rPr>
              <w:t>)</w:t>
            </w:r>
          </w:p>
        </w:tc>
      </w:tr>
      <w:tr w:rsidR="009D05DD" w:rsidRPr="009D05DD" w:rsidTr="009D05DD">
        <w:trPr>
          <w:tblCellSpacing w:w="0" w:type="dxa"/>
          <w:jc w:val="center"/>
        </w:trPr>
        <w:tc>
          <w:tcPr>
            <w:tcW w:w="1140" w:type="dxa"/>
            <w:hideMark/>
          </w:tcPr>
          <w:p w:rsidR="009D05DD" w:rsidRPr="009D05DD" w:rsidRDefault="009D05DD" w:rsidP="009D05DD"/>
        </w:tc>
        <w:tc>
          <w:tcPr>
            <w:tcW w:w="1020" w:type="dxa"/>
            <w:hideMark/>
          </w:tcPr>
          <w:p w:rsidR="009D05DD" w:rsidRPr="009D05DD" w:rsidRDefault="009D05DD" w:rsidP="009D05DD">
            <w:pPr>
              <w:spacing w:before="100" w:beforeAutospacing="1" w:after="100" w:afterAutospacing="1"/>
              <w:jc w:val="center"/>
            </w:pPr>
            <w:r w:rsidRPr="009D05DD">
              <w:rPr>
                <w:sz w:val="20"/>
                <w:szCs w:val="20"/>
              </w:rPr>
              <w:t>7,37</w:t>
            </w:r>
          </w:p>
        </w:tc>
        <w:tc>
          <w:tcPr>
            <w:tcW w:w="1020" w:type="dxa"/>
            <w:hideMark/>
          </w:tcPr>
          <w:p w:rsidR="009D05DD" w:rsidRPr="009D05DD" w:rsidRDefault="009D05DD" w:rsidP="009D05DD">
            <w:pPr>
              <w:spacing w:before="100" w:beforeAutospacing="1" w:after="100" w:afterAutospacing="1"/>
              <w:jc w:val="center"/>
            </w:pPr>
            <w:r w:rsidRPr="009D05DD">
              <w:rPr>
                <w:sz w:val="20"/>
                <w:szCs w:val="20"/>
              </w:rPr>
              <w:t>19,93</w:t>
            </w:r>
          </w:p>
        </w:tc>
        <w:tc>
          <w:tcPr>
            <w:tcW w:w="1020" w:type="dxa"/>
            <w:hideMark/>
          </w:tcPr>
          <w:p w:rsidR="009D05DD" w:rsidRPr="009D05DD" w:rsidRDefault="009D05DD" w:rsidP="009D05DD">
            <w:pPr>
              <w:spacing w:before="100" w:beforeAutospacing="1" w:after="100" w:afterAutospacing="1"/>
              <w:jc w:val="center"/>
            </w:pPr>
            <w:r w:rsidRPr="009D05DD">
              <w:rPr>
                <w:sz w:val="20"/>
                <w:szCs w:val="20"/>
              </w:rPr>
              <w:t>47,38</w:t>
            </w:r>
          </w:p>
        </w:tc>
        <w:tc>
          <w:tcPr>
            <w:tcW w:w="1020" w:type="dxa"/>
            <w:hideMark/>
          </w:tcPr>
          <w:p w:rsidR="009D05DD" w:rsidRPr="009D05DD" w:rsidRDefault="009D05DD" w:rsidP="009D05DD">
            <w:pPr>
              <w:spacing w:before="100" w:beforeAutospacing="1" w:after="100" w:afterAutospacing="1"/>
              <w:jc w:val="center"/>
            </w:pPr>
            <w:r w:rsidRPr="009D05DD">
              <w:rPr>
                <w:sz w:val="20"/>
                <w:szCs w:val="20"/>
              </w:rPr>
              <w:t>101,30</w:t>
            </w:r>
          </w:p>
        </w:tc>
        <w:tc>
          <w:tcPr>
            <w:tcW w:w="1020" w:type="dxa"/>
            <w:hideMark/>
          </w:tcPr>
          <w:p w:rsidR="009D05DD" w:rsidRPr="009D05DD" w:rsidRDefault="009D05DD" w:rsidP="009D05DD">
            <w:pPr>
              <w:spacing w:before="100" w:beforeAutospacing="1" w:after="100" w:afterAutospacing="1"/>
              <w:jc w:val="center"/>
            </w:pPr>
            <w:r w:rsidRPr="009D05DD">
              <w:rPr>
                <w:sz w:val="20"/>
                <w:szCs w:val="20"/>
              </w:rPr>
              <w:t>198,47</w:t>
            </w:r>
          </w:p>
        </w:tc>
        <w:tc>
          <w:tcPr>
            <w:tcW w:w="1020" w:type="dxa"/>
            <w:hideMark/>
          </w:tcPr>
          <w:p w:rsidR="009D05DD" w:rsidRPr="009D05DD" w:rsidRDefault="009D05DD" w:rsidP="009D05DD">
            <w:pPr>
              <w:spacing w:before="100" w:beforeAutospacing="1" w:after="100" w:afterAutospacing="1"/>
              <w:jc w:val="center"/>
            </w:pPr>
            <w:r w:rsidRPr="009D05DD">
              <w:rPr>
                <w:sz w:val="20"/>
                <w:szCs w:val="20"/>
              </w:rPr>
              <w:t>617,53</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0,00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0,00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0,00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0,00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0,00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0,00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0,00</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4,76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0,73</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0,89</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0,98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1,12</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1,27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1,57</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9,09</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1,67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1,88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2,15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2,40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2,72</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3,27</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16,67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4,14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4,59</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5,06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5,56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6,04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7,04</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23,08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7,52</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8,24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8,82</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9,44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10,11</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11,14</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28,57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11,76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12,66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13,34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14,05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14,54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15,28</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33,33</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17,28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17,71</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18,45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19,11</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19,61</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20,23</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37,50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21,94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23,05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23,97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24,58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24,93</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25,08</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lastRenderedPageBreak/>
              <w:t>41,18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27,47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28,59</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29,68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30,25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30,53</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29,89</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44,44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32,86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34,47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35,36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36,01</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36,07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34,97</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47,37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38,30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40,06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40,81</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41,68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41,77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39,93</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50,00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43,27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45,33</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46,64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47,39</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47,30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44,18</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54,55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52,75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55,55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57,46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58,12</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57,92</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54,65</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58,33</w:t>
            </w:r>
          </w:p>
        </w:tc>
        <w:tc>
          <w:tcPr>
            <w:tcW w:w="1020" w:type="dxa"/>
            <w:hideMark/>
          </w:tcPr>
          <w:p w:rsidR="009D05DD" w:rsidRPr="009D05DD" w:rsidRDefault="009D05DD" w:rsidP="009D05DD"/>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65,71</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67,26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68,05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67,96</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59,74</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61,54</w:t>
            </w:r>
          </w:p>
        </w:tc>
        <w:tc>
          <w:tcPr>
            <w:tcW w:w="1020" w:type="dxa"/>
            <w:hideMark/>
          </w:tcPr>
          <w:p w:rsidR="009D05DD" w:rsidRPr="009D05DD" w:rsidRDefault="009D05DD" w:rsidP="009D05DD"/>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74,48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76,22</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77,43</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77,48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72,86</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64,29</w:t>
            </w:r>
          </w:p>
        </w:tc>
        <w:tc>
          <w:tcPr>
            <w:tcW w:w="1020" w:type="dxa"/>
            <w:hideMark/>
          </w:tcPr>
          <w:p w:rsidR="009D05DD" w:rsidRPr="009D05DD" w:rsidRDefault="009D05DD" w:rsidP="009D05DD"/>
        </w:tc>
        <w:tc>
          <w:tcPr>
            <w:tcW w:w="1020" w:type="dxa"/>
            <w:hideMark/>
          </w:tcPr>
          <w:p w:rsidR="009D05DD" w:rsidRPr="009D05DD" w:rsidRDefault="009D05DD" w:rsidP="009D05DD"/>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83,55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85,95</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85,90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80,99</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66,67</w:t>
            </w:r>
          </w:p>
        </w:tc>
        <w:tc>
          <w:tcPr>
            <w:tcW w:w="1020" w:type="dxa"/>
            <w:hideMark/>
          </w:tcPr>
          <w:p w:rsidR="009D05DD" w:rsidRPr="009D05DD" w:rsidRDefault="009D05DD" w:rsidP="009D05DD"/>
        </w:tc>
        <w:tc>
          <w:tcPr>
            <w:tcW w:w="1020" w:type="dxa"/>
            <w:hideMark/>
          </w:tcPr>
          <w:p w:rsidR="009D05DD" w:rsidRPr="009D05DD" w:rsidRDefault="009D05DD" w:rsidP="009D05DD"/>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90,74</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94,03</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94,09</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88,81</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71,43</w:t>
            </w:r>
          </w:p>
        </w:tc>
        <w:tc>
          <w:tcPr>
            <w:tcW w:w="1020" w:type="dxa"/>
            <w:hideMark/>
          </w:tcPr>
          <w:p w:rsidR="009D05DD" w:rsidRPr="009D05DD" w:rsidRDefault="009D05DD" w:rsidP="009D05DD"/>
        </w:tc>
        <w:tc>
          <w:tcPr>
            <w:tcW w:w="1020" w:type="dxa"/>
            <w:hideMark/>
          </w:tcPr>
          <w:p w:rsidR="009D05DD" w:rsidRPr="009D05DD" w:rsidRDefault="009D05DD" w:rsidP="009D05DD"/>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106,60</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110,71</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111,97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106,37</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75,00</w:t>
            </w:r>
          </w:p>
        </w:tc>
        <w:tc>
          <w:tcPr>
            <w:tcW w:w="1020" w:type="dxa"/>
            <w:hideMark/>
          </w:tcPr>
          <w:p w:rsidR="009D05DD" w:rsidRPr="009D05DD" w:rsidRDefault="009D05DD" w:rsidP="009D05DD"/>
        </w:tc>
        <w:tc>
          <w:tcPr>
            <w:tcW w:w="1020" w:type="dxa"/>
            <w:hideMark/>
          </w:tcPr>
          <w:p w:rsidR="009D05DD" w:rsidRPr="009D05DD" w:rsidRDefault="009D05DD" w:rsidP="009D05DD"/>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126,08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126,57</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127,02</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121,79</w:t>
            </w:r>
          </w:p>
        </w:tc>
      </w:tr>
      <w:tr w:rsidR="009D05DD" w:rsidRPr="009D05DD" w:rsidTr="009D05DD">
        <w:trPr>
          <w:tblCellSpacing w:w="0" w:type="dxa"/>
          <w:jc w:val="center"/>
        </w:trPr>
        <w:tc>
          <w:tcPr>
            <w:tcW w:w="114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77,78</w:t>
            </w:r>
          </w:p>
        </w:tc>
        <w:tc>
          <w:tcPr>
            <w:tcW w:w="1020" w:type="dxa"/>
            <w:hideMark/>
          </w:tcPr>
          <w:p w:rsidR="009D05DD" w:rsidRPr="009D05DD" w:rsidRDefault="009D05DD" w:rsidP="009D05DD"/>
        </w:tc>
        <w:tc>
          <w:tcPr>
            <w:tcW w:w="1020" w:type="dxa"/>
            <w:hideMark/>
          </w:tcPr>
          <w:p w:rsidR="009D05DD" w:rsidRPr="009D05DD" w:rsidRDefault="009D05DD" w:rsidP="009D05DD"/>
        </w:tc>
        <w:tc>
          <w:tcPr>
            <w:tcW w:w="1020" w:type="dxa"/>
            <w:hideMark/>
          </w:tcPr>
          <w:p w:rsidR="009D05DD" w:rsidRPr="009D05DD" w:rsidRDefault="009D05DD" w:rsidP="009D05DD"/>
        </w:tc>
        <w:tc>
          <w:tcPr>
            <w:tcW w:w="1020" w:type="dxa"/>
            <w:hideMark/>
          </w:tcPr>
          <w:p w:rsidR="009D05DD" w:rsidRPr="009D05DD" w:rsidRDefault="009D05DD" w:rsidP="009D05DD"/>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140,48</w:t>
            </w:r>
          </w:p>
        </w:tc>
        <w:tc>
          <w:tcPr>
            <w:tcW w:w="1020" w:type="dxa"/>
            <w:hideMark/>
          </w:tcPr>
          <w:p w:rsidR="009D05DD" w:rsidRPr="009D05DD" w:rsidRDefault="009D05DD" w:rsidP="009D05DD">
            <w:pPr>
              <w:spacing w:before="100" w:beforeAutospacing="1" w:after="100" w:afterAutospacing="1"/>
              <w:jc w:val="right"/>
            </w:pPr>
            <w:r w:rsidRPr="009D05DD">
              <w:rPr>
                <w:color w:val="000000"/>
                <w:sz w:val="20"/>
                <w:szCs w:val="20"/>
                <w:lang w:val="pt-PT"/>
              </w:rPr>
              <w:t>135,41</w:t>
            </w:r>
          </w:p>
        </w:tc>
      </w:tr>
    </w:tbl>
    <w:p w:rsidR="009D05DD" w:rsidRPr="009D05DD" w:rsidRDefault="009D05DD" w:rsidP="009D05DD">
      <w:pPr>
        <w:spacing w:beforeAutospacing="1" w:after="100" w:afterAutospacing="1"/>
        <w:jc w:val="center"/>
      </w:pPr>
      <w:r w:rsidRPr="009D05DD">
        <w:rPr>
          <w:noProof/>
          <w:sz w:val="27"/>
          <w:szCs w:val="27"/>
        </w:rPr>
        <w:drawing>
          <wp:inline distT="0" distB="0" distL="0" distR="0" wp14:anchorId="3040A8B1" wp14:editId="3B94606C">
            <wp:extent cx="3495675" cy="2819400"/>
            <wp:effectExtent l="0" t="0" r="0" b="0"/>
            <wp:docPr id="1" name="Imagem 1" descr="mhtml:file://E:\Parte%20do%20pendrive%204g%202\Operações%20unitarias\Cálculo%20da%20Elevação%20do%20Ponto%20de%20Ebulição%20de%20Soluções%20a%20partir%20de%20Dados%20de%20Pressão%20Parcial.mht!http://www.hottopos.com.br/regeq6/imag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E:\Parte%20do%20pendrive%204g%202\Operações%20unitarias\Cálculo%20da%20Elevação%20do%20Ponto%20de%20Ebulição%20de%20Soluções%20a%20partir%20de%20Dados%20de%20Pressão%20Parcial.mht!http://www.hottopos.com.br/regeq6/images/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2819400"/>
                    </a:xfrm>
                    <a:prstGeom prst="rect">
                      <a:avLst/>
                    </a:prstGeom>
                    <a:noFill/>
                    <a:ln>
                      <a:noFill/>
                    </a:ln>
                  </pic:spPr>
                </pic:pic>
              </a:graphicData>
            </a:graphic>
          </wp:inline>
        </w:drawing>
      </w:r>
    </w:p>
    <w:p w:rsidR="009D05DD" w:rsidRPr="009D05DD" w:rsidRDefault="009D05DD" w:rsidP="009D05DD">
      <w:pPr>
        <w:spacing w:before="100" w:beforeAutospacing="1" w:after="100" w:afterAutospacing="1"/>
        <w:jc w:val="center"/>
        <w:outlineLvl w:val="2"/>
        <w:rPr>
          <w:b/>
          <w:bCs/>
          <w:sz w:val="27"/>
          <w:szCs w:val="27"/>
        </w:rPr>
      </w:pPr>
      <w:r w:rsidRPr="009D05DD">
        <w:rPr>
          <w:b/>
          <w:bCs/>
          <w:sz w:val="20"/>
          <w:szCs w:val="20"/>
          <w:lang w:val="pt-PT"/>
        </w:rPr>
        <w:t>Figura 1. Diagrama de Duhring de soluções aquosas de hidróxido de sódio</w:t>
      </w:r>
    </w:p>
    <w:p w:rsidR="009D05DD" w:rsidRPr="009D05DD" w:rsidRDefault="009D05DD" w:rsidP="009D05DD">
      <w:pPr>
        <w:spacing w:beforeAutospacing="1" w:after="100" w:afterAutospacing="1"/>
        <w:outlineLvl w:val="1"/>
        <w:rPr>
          <w:b/>
          <w:bCs/>
          <w:sz w:val="36"/>
          <w:szCs w:val="36"/>
        </w:rPr>
      </w:pPr>
      <w:r w:rsidRPr="009D05DD">
        <w:rPr>
          <w:b/>
          <w:bCs/>
          <w:sz w:val="27"/>
          <w:szCs w:val="27"/>
          <w:lang w:val="pt-PT"/>
        </w:rPr>
        <w:t>Uso de uma correlação empírica</w:t>
      </w:r>
    </w:p>
    <w:p w:rsidR="009D05DD" w:rsidRPr="009D05DD" w:rsidRDefault="009D05DD" w:rsidP="009D05DD">
      <w:pPr>
        <w:spacing w:before="100" w:beforeAutospacing="1" w:after="100" w:afterAutospacing="1"/>
      </w:pPr>
      <w:r w:rsidRPr="009D05DD">
        <w:t xml:space="preserve">         </w:t>
      </w:r>
      <w:r w:rsidRPr="009D05DD">
        <w:rPr>
          <w:sz w:val="27"/>
          <w:szCs w:val="27"/>
        </w:rPr>
        <w:t xml:space="preserve">Face ao uso disseminado do computador, </w:t>
      </w:r>
      <w:proofErr w:type="gramStart"/>
      <w:r w:rsidRPr="009D05DD">
        <w:rPr>
          <w:sz w:val="27"/>
          <w:szCs w:val="27"/>
        </w:rPr>
        <w:t>informações disponíveis em diagramas tem sido</w:t>
      </w:r>
      <w:proofErr w:type="gramEnd"/>
      <w:r w:rsidRPr="009D05DD">
        <w:rPr>
          <w:sz w:val="27"/>
          <w:szCs w:val="27"/>
        </w:rPr>
        <w:t xml:space="preserve"> substituídas por equações matemáticas. </w:t>
      </w:r>
      <w:proofErr w:type="spellStart"/>
      <w:r w:rsidRPr="009D05DD">
        <w:rPr>
          <w:sz w:val="27"/>
          <w:szCs w:val="27"/>
        </w:rPr>
        <w:t>Capriste</w:t>
      </w:r>
      <w:proofErr w:type="spellEnd"/>
      <w:r w:rsidRPr="009D05DD">
        <w:rPr>
          <w:sz w:val="27"/>
          <w:szCs w:val="27"/>
        </w:rPr>
        <w:t xml:space="preserve"> e Lozano [4] propuseram uma correlação empírica que permite o cálculo da elevação do ponto de ebulição em função da concentração de sólidos e pressão, conforme apresentado na Equação </w:t>
      </w:r>
      <w:proofErr w:type="gramStart"/>
      <w:r w:rsidRPr="009D05DD">
        <w:rPr>
          <w:sz w:val="27"/>
          <w:szCs w:val="27"/>
        </w:rPr>
        <w:t>1</w:t>
      </w:r>
      <w:proofErr w:type="gramEnd"/>
      <w:r w:rsidRPr="009D05DD">
        <w:rPr>
          <w:sz w:val="27"/>
          <w:szCs w:val="27"/>
        </w:rPr>
        <w:t>.</w:t>
      </w:r>
    </w:p>
    <w:p w:rsidR="009D05DD" w:rsidRPr="009D05DD" w:rsidRDefault="009D05DD" w:rsidP="009D05DD">
      <w:pPr>
        <w:spacing w:before="100" w:beforeAutospacing="1" w:after="100" w:afterAutospacing="1"/>
      </w:pPr>
      <w:r w:rsidRPr="009D05DD">
        <w:rPr>
          <w:noProof/>
          <w:sz w:val="27"/>
          <w:szCs w:val="27"/>
          <w:vertAlign w:val="subscript"/>
        </w:rPr>
        <w:drawing>
          <wp:inline distT="0" distB="0" distL="0" distR="0" wp14:anchorId="4643EC12" wp14:editId="36C44A67">
            <wp:extent cx="2028825" cy="228600"/>
            <wp:effectExtent l="0" t="0" r="9525" b="0"/>
            <wp:docPr id="2" name="Imagem 2" descr="mhtml:file://E:\Parte%20do%20pendrive%204g%202\Operações%20unitarias\Cálculo%20da%20Elevação%20do%20Ponto%20de%20Ebulição%20de%20Soluções%20a%20partir%20de%20Dados%20de%20Pressão%20Parcial.mht!http://www.hottopos.com.br/regeq6/image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E:\Parte%20do%20pendrive%204g%202\Operações%20unitarias\Cálculo%20da%20Elevação%20do%20Ponto%20de%20Ebulição%20de%20Soluções%20a%20partir%20de%20Dados%20de%20Pressão%20Parcial.mht!http://www.hottopos.com.br/regeq6/images/image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28600"/>
                    </a:xfrm>
                    <a:prstGeom prst="rect">
                      <a:avLst/>
                    </a:prstGeom>
                    <a:noFill/>
                    <a:ln>
                      <a:noFill/>
                    </a:ln>
                  </pic:spPr>
                </pic:pic>
              </a:graphicData>
            </a:graphic>
          </wp:inline>
        </w:drawing>
      </w:r>
      <w:r w:rsidRPr="009D05DD">
        <w:rPr>
          <w:sz w:val="27"/>
          <w:szCs w:val="27"/>
        </w:rPr>
        <w:t>                                          (1)</w:t>
      </w:r>
    </w:p>
    <w:p w:rsidR="009D05DD" w:rsidRPr="009D05DD" w:rsidRDefault="009D05DD" w:rsidP="009D05DD">
      <w:pPr>
        <w:spacing w:before="100" w:beforeAutospacing="1" w:after="100" w:afterAutospacing="1"/>
      </w:pPr>
      <w:r w:rsidRPr="009D05DD">
        <w:rPr>
          <w:sz w:val="27"/>
          <w:szCs w:val="27"/>
        </w:rPr>
        <w:t>         Utilizando-se os dados da Tabela 2, e a ferramenta “Solver” da planilha Excel, os parâmetros da Equação (1) foram calculados, obtendo-se os valores:</w:t>
      </w:r>
    </w:p>
    <w:p w:rsidR="009D05DD" w:rsidRPr="009D05DD" w:rsidRDefault="009D05DD" w:rsidP="009D05DD">
      <w:pPr>
        <w:spacing w:before="100" w:beforeAutospacing="1" w:after="100" w:afterAutospacing="1"/>
      </w:pPr>
      <w:proofErr w:type="gramStart"/>
      <w:r w:rsidRPr="009D05DD">
        <w:rPr>
          <w:sz w:val="27"/>
          <w:szCs w:val="27"/>
        </w:rPr>
        <w:t>a</w:t>
      </w:r>
      <w:proofErr w:type="gramEnd"/>
      <w:r w:rsidRPr="009D05DD">
        <w:rPr>
          <w:sz w:val="27"/>
          <w:szCs w:val="27"/>
        </w:rPr>
        <w:t xml:space="preserve"> = 5,29x10</w:t>
      </w:r>
      <w:r w:rsidRPr="009D05DD">
        <w:rPr>
          <w:sz w:val="27"/>
          <w:szCs w:val="27"/>
          <w:vertAlign w:val="superscript"/>
        </w:rPr>
        <w:t>-2</w:t>
      </w:r>
      <w:r w:rsidRPr="009D05DD">
        <w:rPr>
          <w:sz w:val="27"/>
          <w:szCs w:val="27"/>
        </w:rPr>
        <w:t>, b = 1,5314, g = 1,540x10</w:t>
      </w:r>
      <w:r w:rsidRPr="009D05DD">
        <w:rPr>
          <w:sz w:val="27"/>
          <w:szCs w:val="27"/>
          <w:vertAlign w:val="superscript"/>
        </w:rPr>
        <w:t>-2</w:t>
      </w:r>
      <w:r w:rsidRPr="009D05DD">
        <w:rPr>
          <w:sz w:val="27"/>
          <w:szCs w:val="27"/>
        </w:rPr>
        <w:t xml:space="preserve"> e d = -0,0024. </w:t>
      </w:r>
    </w:p>
    <w:p w:rsidR="009D05DD" w:rsidRPr="009D05DD" w:rsidRDefault="009D05DD" w:rsidP="009D05DD">
      <w:pPr>
        <w:spacing w:before="100" w:beforeAutospacing="1" w:after="100" w:afterAutospacing="1"/>
      </w:pPr>
      <w:r w:rsidRPr="009D05DD">
        <w:rPr>
          <w:sz w:val="27"/>
          <w:szCs w:val="27"/>
        </w:rPr>
        <w:lastRenderedPageBreak/>
        <w:t>         O mesmo procedimento foi repetido para as soluções de Na</w:t>
      </w:r>
      <w:r w:rsidRPr="009D05DD">
        <w:rPr>
          <w:sz w:val="27"/>
          <w:szCs w:val="27"/>
          <w:vertAlign w:val="subscript"/>
        </w:rPr>
        <w:t>2</w:t>
      </w:r>
      <w:r w:rsidRPr="009D05DD">
        <w:rPr>
          <w:sz w:val="27"/>
          <w:szCs w:val="27"/>
        </w:rPr>
        <w:t>CO</w:t>
      </w:r>
      <w:r w:rsidRPr="009D05DD">
        <w:rPr>
          <w:sz w:val="27"/>
          <w:szCs w:val="27"/>
          <w:vertAlign w:val="subscript"/>
        </w:rPr>
        <w:t>3</w:t>
      </w:r>
      <w:r w:rsidRPr="009D05DD">
        <w:rPr>
          <w:sz w:val="27"/>
          <w:szCs w:val="27"/>
        </w:rPr>
        <w:t xml:space="preserve">, </w:t>
      </w:r>
      <w:proofErr w:type="spellStart"/>
      <w:proofErr w:type="gramStart"/>
      <w:r w:rsidRPr="009D05DD">
        <w:rPr>
          <w:sz w:val="27"/>
          <w:szCs w:val="27"/>
        </w:rPr>
        <w:t>NaCl</w:t>
      </w:r>
      <w:proofErr w:type="spellEnd"/>
      <w:proofErr w:type="gramEnd"/>
      <w:r w:rsidRPr="009D05DD">
        <w:rPr>
          <w:sz w:val="27"/>
          <w:szCs w:val="27"/>
        </w:rPr>
        <w:t>, NaClO</w:t>
      </w:r>
      <w:r w:rsidRPr="009D05DD">
        <w:rPr>
          <w:sz w:val="27"/>
          <w:szCs w:val="27"/>
          <w:vertAlign w:val="subscript"/>
        </w:rPr>
        <w:t>3</w:t>
      </w:r>
      <w:r w:rsidRPr="009D05DD">
        <w:rPr>
          <w:sz w:val="27"/>
          <w:szCs w:val="27"/>
        </w:rPr>
        <w:t xml:space="preserve"> e NaNO</w:t>
      </w:r>
      <w:r w:rsidRPr="009D05DD">
        <w:rPr>
          <w:sz w:val="27"/>
          <w:szCs w:val="27"/>
          <w:vertAlign w:val="subscript"/>
        </w:rPr>
        <w:t>3</w:t>
      </w:r>
      <w:r w:rsidRPr="009D05DD">
        <w:rPr>
          <w:sz w:val="27"/>
          <w:szCs w:val="27"/>
        </w:rPr>
        <w:t xml:space="preserve"> a partir de dados de pressão parcial da água relatados na literatura [1,3], obtendo-se os resultados apresentados na Tabela 3.</w:t>
      </w:r>
    </w:p>
    <w:p w:rsidR="009D05DD" w:rsidRPr="009D05DD" w:rsidRDefault="009D05DD" w:rsidP="009D05DD">
      <w:pPr>
        <w:spacing w:before="100" w:beforeAutospacing="1" w:afterAutospacing="1"/>
        <w:jc w:val="center"/>
      </w:pPr>
      <w:r w:rsidRPr="009D05DD">
        <w:rPr>
          <w:sz w:val="27"/>
          <w:szCs w:val="27"/>
        </w:rPr>
        <w:t xml:space="preserve">Tabela 3. Parâmetros da Equação de </w:t>
      </w:r>
      <w:proofErr w:type="spellStart"/>
      <w:r w:rsidRPr="009D05DD">
        <w:rPr>
          <w:sz w:val="27"/>
          <w:szCs w:val="27"/>
        </w:rPr>
        <w:t>Capriste</w:t>
      </w:r>
      <w:proofErr w:type="spellEnd"/>
      <w:r w:rsidRPr="009D05DD">
        <w:rPr>
          <w:sz w:val="27"/>
          <w:szCs w:val="27"/>
        </w:rPr>
        <w:t xml:space="preserve"> e Lozano</w:t>
      </w:r>
    </w:p>
    <w:tbl>
      <w:tblPr>
        <w:tblW w:w="0" w:type="auto"/>
        <w:jc w:val="center"/>
        <w:tblCellSpacing w:w="0" w:type="dxa"/>
        <w:tblCellMar>
          <w:left w:w="0" w:type="dxa"/>
          <w:right w:w="0" w:type="dxa"/>
        </w:tblCellMar>
        <w:tblLook w:val="04A0" w:firstRow="1" w:lastRow="0" w:firstColumn="1" w:lastColumn="0" w:noHBand="0" w:noVBand="1"/>
      </w:tblPr>
      <w:tblGrid>
        <w:gridCol w:w="1215"/>
        <w:gridCol w:w="945"/>
        <w:gridCol w:w="1200"/>
        <w:gridCol w:w="1140"/>
        <w:gridCol w:w="1200"/>
        <w:gridCol w:w="1744"/>
      </w:tblGrid>
      <w:tr w:rsidR="009D05DD" w:rsidRPr="009D05DD" w:rsidTr="009D05DD">
        <w:trPr>
          <w:tblCellSpacing w:w="0" w:type="dxa"/>
          <w:jc w:val="center"/>
        </w:trPr>
        <w:tc>
          <w:tcPr>
            <w:tcW w:w="1215" w:type="dxa"/>
            <w:hideMark/>
          </w:tcPr>
          <w:p w:rsidR="009D05DD" w:rsidRPr="009D05DD" w:rsidRDefault="009D05DD" w:rsidP="009D05DD">
            <w:pPr>
              <w:spacing w:before="100" w:beforeAutospacing="1" w:after="100" w:afterAutospacing="1"/>
              <w:jc w:val="center"/>
            </w:pPr>
            <w:r w:rsidRPr="009D05DD">
              <w:rPr>
                <w:sz w:val="20"/>
                <w:szCs w:val="20"/>
              </w:rPr>
              <w:t>Soluto</w:t>
            </w:r>
          </w:p>
        </w:tc>
        <w:tc>
          <w:tcPr>
            <w:tcW w:w="945" w:type="dxa"/>
            <w:hideMark/>
          </w:tcPr>
          <w:p w:rsidR="009D05DD" w:rsidRPr="009D05DD" w:rsidRDefault="009D05DD" w:rsidP="009D05DD">
            <w:pPr>
              <w:spacing w:before="100" w:beforeAutospacing="1" w:after="100" w:afterAutospacing="1"/>
              <w:jc w:val="center"/>
            </w:pPr>
            <w:proofErr w:type="gramStart"/>
            <w:r w:rsidRPr="009D05DD">
              <w:rPr>
                <w:sz w:val="20"/>
                <w:szCs w:val="20"/>
              </w:rPr>
              <w:t>a</w:t>
            </w:r>
            <w:proofErr w:type="gramEnd"/>
            <w:r w:rsidRPr="009D05DD">
              <w:rPr>
                <w:sz w:val="20"/>
                <w:szCs w:val="20"/>
              </w:rPr>
              <w:t xml:space="preserve"> x 10</w:t>
            </w:r>
            <w:r w:rsidRPr="009D05DD">
              <w:rPr>
                <w:sz w:val="20"/>
                <w:szCs w:val="20"/>
                <w:vertAlign w:val="superscript"/>
              </w:rPr>
              <w:t>2</w:t>
            </w:r>
          </w:p>
        </w:tc>
        <w:tc>
          <w:tcPr>
            <w:tcW w:w="1200" w:type="dxa"/>
            <w:hideMark/>
          </w:tcPr>
          <w:p w:rsidR="009D05DD" w:rsidRPr="009D05DD" w:rsidRDefault="009D05DD" w:rsidP="009D05DD">
            <w:pPr>
              <w:spacing w:before="100" w:beforeAutospacing="1" w:after="100" w:afterAutospacing="1"/>
              <w:jc w:val="center"/>
            </w:pPr>
            <w:r w:rsidRPr="009D05DD">
              <w:rPr>
                <w:sz w:val="20"/>
                <w:szCs w:val="20"/>
              </w:rPr>
              <w:t>b</w:t>
            </w:r>
          </w:p>
        </w:tc>
        <w:tc>
          <w:tcPr>
            <w:tcW w:w="1140" w:type="dxa"/>
            <w:hideMark/>
          </w:tcPr>
          <w:p w:rsidR="009D05DD" w:rsidRPr="009D05DD" w:rsidRDefault="009D05DD" w:rsidP="009D05DD">
            <w:pPr>
              <w:spacing w:before="100" w:beforeAutospacing="1" w:after="100" w:afterAutospacing="1"/>
              <w:jc w:val="center"/>
            </w:pPr>
            <w:r w:rsidRPr="009D05DD">
              <w:rPr>
                <w:sz w:val="20"/>
                <w:szCs w:val="20"/>
              </w:rPr>
              <w:t>g x 10</w:t>
            </w:r>
            <w:r w:rsidRPr="009D05DD">
              <w:rPr>
                <w:sz w:val="20"/>
                <w:szCs w:val="20"/>
                <w:vertAlign w:val="superscript"/>
              </w:rPr>
              <w:t>2</w:t>
            </w:r>
          </w:p>
        </w:tc>
        <w:tc>
          <w:tcPr>
            <w:tcW w:w="1200" w:type="dxa"/>
            <w:hideMark/>
          </w:tcPr>
          <w:p w:rsidR="009D05DD" w:rsidRPr="009D05DD" w:rsidRDefault="009D05DD" w:rsidP="009D05DD">
            <w:pPr>
              <w:spacing w:before="100" w:beforeAutospacing="1" w:after="100" w:afterAutospacing="1"/>
              <w:jc w:val="center"/>
            </w:pPr>
            <w:r w:rsidRPr="009D05DD">
              <w:rPr>
                <w:sz w:val="20"/>
                <w:szCs w:val="20"/>
              </w:rPr>
              <w:t>d</w:t>
            </w:r>
          </w:p>
        </w:tc>
        <w:tc>
          <w:tcPr>
            <w:tcW w:w="1305" w:type="dxa"/>
            <w:hideMark/>
          </w:tcPr>
          <w:p w:rsidR="009D05DD" w:rsidRPr="009D05DD" w:rsidRDefault="009D05DD" w:rsidP="009D05DD">
            <w:pPr>
              <w:spacing w:before="100" w:beforeAutospacing="1" w:after="100" w:afterAutospacing="1"/>
              <w:jc w:val="center"/>
            </w:pPr>
            <w:proofErr w:type="spellStart"/>
            <w:r w:rsidRPr="009D05DD">
              <w:rPr>
                <w:sz w:val="20"/>
                <w:szCs w:val="20"/>
              </w:rPr>
              <w:t>Concentraçãomáxima</w:t>
            </w:r>
            <w:proofErr w:type="spellEnd"/>
            <w:r w:rsidRPr="009D05DD">
              <w:rPr>
                <w:sz w:val="20"/>
                <w:szCs w:val="20"/>
              </w:rPr>
              <w:t xml:space="preserve"> de </w:t>
            </w:r>
            <w:proofErr w:type="gramStart"/>
            <w:r w:rsidRPr="009D05DD">
              <w:rPr>
                <w:sz w:val="20"/>
                <w:szCs w:val="20"/>
              </w:rPr>
              <w:t>soluto(</w:t>
            </w:r>
            <w:proofErr w:type="gramEnd"/>
            <w:r w:rsidRPr="009D05DD">
              <w:rPr>
                <w:sz w:val="20"/>
                <w:szCs w:val="20"/>
              </w:rPr>
              <w:t>%)</w:t>
            </w:r>
          </w:p>
        </w:tc>
      </w:tr>
      <w:tr w:rsidR="009D05DD" w:rsidRPr="009D05DD" w:rsidTr="009D05DD">
        <w:trPr>
          <w:tblCellSpacing w:w="0" w:type="dxa"/>
          <w:jc w:val="center"/>
        </w:trPr>
        <w:tc>
          <w:tcPr>
            <w:tcW w:w="1215" w:type="dxa"/>
            <w:hideMark/>
          </w:tcPr>
          <w:p w:rsidR="009D05DD" w:rsidRPr="009D05DD" w:rsidRDefault="009D05DD" w:rsidP="009D05DD">
            <w:pPr>
              <w:spacing w:before="100" w:beforeAutospacing="1" w:after="100" w:afterAutospacing="1"/>
              <w:jc w:val="center"/>
            </w:pPr>
            <w:r w:rsidRPr="009D05DD">
              <w:rPr>
                <w:sz w:val="20"/>
                <w:szCs w:val="20"/>
              </w:rPr>
              <w:t>Na</w:t>
            </w:r>
            <w:r w:rsidRPr="009D05DD">
              <w:rPr>
                <w:sz w:val="20"/>
                <w:szCs w:val="20"/>
                <w:vertAlign w:val="subscript"/>
              </w:rPr>
              <w:t>2</w:t>
            </w:r>
            <w:r w:rsidRPr="009D05DD">
              <w:rPr>
                <w:sz w:val="20"/>
                <w:szCs w:val="20"/>
              </w:rPr>
              <w:t>CO</w:t>
            </w:r>
            <w:r w:rsidRPr="009D05DD">
              <w:rPr>
                <w:sz w:val="20"/>
                <w:szCs w:val="20"/>
                <w:vertAlign w:val="subscript"/>
              </w:rPr>
              <w:t>3</w:t>
            </w:r>
          </w:p>
        </w:tc>
        <w:tc>
          <w:tcPr>
            <w:tcW w:w="945" w:type="dxa"/>
            <w:hideMark/>
          </w:tcPr>
          <w:p w:rsidR="009D05DD" w:rsidRPr="009D05DD" w:rsidRDefault="009D05DD" w:rsidP="009D05DD">
            <w:pPr>
              <w:spacing w:before="100" w:beforeAutospacing="1" w:after="100" w:afterAutospacing="1"/>
              <w:jc w:val="right"/>
            </w:pPr>
            <w:r w:rsidRPr="009D05DD">
              <w:rPr>
                <w:sz w:val="20"/>
                <w:szCs w:val="20"/>
              </w:rPr>
              <w:t>0,10</w:t>
            </w:r>
          </w:p>
        </w:tc>
        <w:tc>
          <w:tcPr>
            <w:tcW w:w="1200" w:type="dxa"/>
            <w:hideMark/>
          </w:tcPr>
          <w:p w:rsidR="009D05DD" w:rsidRPr="009D05DD" w:rsidRDefault="009D05DD" w:rsidP="009D05DD">
            <w:pPr>
              <w:spacing w:before="100" w:beforeAutospacing="1" w:after="100" w:afterAutospacing="1"/>
              <w:jc w:val="right"/>
            </w:pPr>
            <w:r w:rsidRPr="009D05DD">
              <w:rPr>
                <w:sz w:val="20"/>
                <w:szCs w:val="20"/>
              </w:rPr>
              <w:t>0,5932</w:t>
            </w:r>
          </w:p>
        </w:tc>
        <w:tc>
          <w:tcPr>
            <w:tcW w:w="1140" w:type="dxa"/>
            <w:hideMark/>
          </w:tcPr>
          <w:p w:rsidR="009D05DD" w:rsidRPr="009D05DD" w:rsidRDefault="009D05DD" w:rsidP="009D05DD">
            <w:pPr>
              <w:spacing w:before="100" w:beforeAutospacing="1" w:after="100" w:afterAutospacing="1"/>
              <w:jc w:val="right"/>
            </w:pPr>
            <w:r w:rsidRPr="009D05DD">
              <w:rPr>
                <w:sz w:val="20"/>
                <w:szCs w:val="20"/>
              </w:rPr>
              <w:t>4,09</w:t>
            </w:r>
          </w:p>
        </w:tc>
        <w:tc>
          <w:tcPr>
            <w:tcW w:w="1200" w:type="dxa"/>
            <w:hideMark/>
          </w:tcPr>
          <w:p w:rsidR="009D05DD" w:rsidRPr="009D05DD" w:rsidRDefault="009D05DD" w:rsidP="009D05DD">
            <w:pPr>
              <w:spacing w:before="100" w:beforeAutospacing="1" w:after="100" w:afterAutospacing="1"/>
              <w:jc w:val="right"/>
            </w:pPr>
            <w:r w:rsidRPr="009D05DD">
              <w:rPr>
                <w:sz w:val="20"/>
                <w:szCs w:val="20"/>
              </w:rPr>
              <w:t>0,1208</w:t>
            </w:r>
          </w:p>
        </w:tc>
        <w:tc>
          <w:tcPr>
            <w:tcW w:w="1305" w:type="dxa"/>
            <w:hideMark/>
          </w:tcPr>
          <w:p w:rsidR="009D05DD" w:rsidRPr="009D05DD" w:rsidRDefault="009D05DD" w:rsidP="009D05DD">
            <w:pPr>
              <w:spacing w:before="100" w:beforeAutospacing="1" w:after="100" w:afterAutospacing="1"/>
              <w:jc w:val="right"/>
            </w:pPr>
            <w:r w:rsidRPr="009D05DD">
              <w:rPr>
                <w:sz w:val="20"/>
                <w:szCs w:val="20"/>
              </w:rPr>
              <w:t>30,0</w:t>
            </w:r>
          </w:p>
        </w:tc>
      </w:tr>
      <w:tr w:rsidR="009D05DD" w:rsidRPr="009D05DD" w:rsidTr="009D05DD">
        <w:trPr>
          <w:tblCellSpacing w:w="0" w:type="dxa"/>
          <w:jc w:val="center"/>
        </w:trPr>
        <w:tc>
          <w:tcPr>
            <w:tcW w:w="1215" w:type="dxa"/>
            <w:hideMark/>
          </w:tcPr>
          <w:p w:rsidR="009D05DD" w:rsidRPr="009D05DD" w:rsidRDefault="009D05DD" w:rsidP="009D05DD">
            <w:pPr>
              <w:spacing w:before="100" w:beforeAutospacing="1" w:after="100" w:afterAutospacing="1"/>
              <w:jc w:val="center"/>
            </w:pPr>
            <w:proofErr w:type="spellStart"/>
            <w:proofErr w:type="gramStart"/>
            <w:r w:rsidRPr="009D05DD">
              <w:rPr>
                <w:sz w:val="20"/>
                <w:szCs w:val="20"/>
              </w:rPr>
              <w:t>NaCl</w:t>
            </w:r>
            <w:proofErr w:type="spellEnd"/>
            <w:proofErr w:type="gramEnd"/>
          </w:p>
        </w:tc>
        <w:tc>
          <w:tcPr>
            <w:tcW w:w="945" w:type="dxa"/>
            <w:hideMark/>
          </w:tcPr>
          <w:p w:rsidR="009D05DD" w:rsidRPr="009D05DD" w:rsidRDefault="009D05DD" w:rsidP="009D05DD">
            <w:pPr>
              <w:spacing w:before="100" w:beforeAutospacing="1" w:after="100" w:afterAutospacing="1"/>
              <w:jc w:val="right"/>
            </w:pPr>
            <w:r w:rsidRPr="009D05DD">
              <w:rPr>
                <w:sz w:val="20"/>
                <w:szCs w:val="20"/>
              </w:rPr>
              <w:t>0,11</w:t>
            </w:r>
          </w:p>
        </w:tc>
        <w:tc>
          <w:tcPr>
            <w:tcW w:w="1200" w:type="dxa"/>
            <w:hideMark/>
          </w:tcPr>
          <w:p w:rsidR="009D05DD" w:rsidRPr="009D05DD" w:rsidRDefault="009D05DD" w:rsidP="009D05DD">
            <w:pPr>
              <w:spacing w:before="100" w:beforeAutospacing="1" w:after="100" w:afterAutospacing="1"/>
              <w:jc w:val="right"/>
            </w:pPr>
            <w:r w:rsidRPr="009D05DD">
              <w:rPr>
                <w:sz w:val="20"/>
                <w:szCs w:val="20"/>
              </w:rPr>
              <w:t>0,7804</w:t>
            </w:r>
          </w:p>
        </w:tc>
        <w:tc>
          <w:tcPr>
            <w:tcW w:w="1140" w:type="dxa"/>
            <w:hideMark/>
          </w:tcPr>
          <w:p w:rsidR="009D05DD" w:rsidRPr="009D05DD" w:rsidRDefault="009D05DD" w:rsidP="009D05DD">
            <w:pPr>
              <w:spacing w:before="100" w:beforeAutospacing="1" w:after="100" w:afterAutospacing="1"/>
              <w:jc w:val="right"/>
            </w:pPr>
            <w:r w:rsidRPr="009D05DD">
              <w:rPr>
                <w:sz w:val="20"/>
                <w:szCs w:val="20"/>
              </w:rPr>
              <w:t>3,87</w:t>
            </w:r>
          </w:p>
        </w:tc>
        <w:tc>
          <w:tcPr>
            <w:tcW w:w="1200" w:type="dxa"/>
            <w:hideMark/>
          </w:tcPr>
          <w:p w:rsidR="009D05DD" w:rsidRPr="009D05DD" w:rsidRDefault="009D05DD" w:rsidP="009D05DD">
            <w:pPr>
              <w:spacing w:before="100" w:beforeAutospacing="1" w:after="100" w:afterAutospacing="1"/>
              <w:jc w:val="right"/>
            </w:pPr>
            <w:r w:rsidRPr="009D05DD">
              <w:rPr>
                <w:sz w:val="20"/>
                <w:szCs w:val="20"/>
              </w:rPr>
              <w:t>0,1403</w:t>
            </w:r>
          </w:p>
        </w:tc>
        <w:tc>
          <w:tcPr>
            <w:tcW w:w="1305" w:type="dxa"/>
            <w:hideMark/>
          </w:tcPr>
          <w:p w:rsidR="009D05DD" w:rsidRPr="009D05DD" w:rsidRDefault="009D05DD" w:rsidP="009D05DD">
            <w:pPr>
              <w:spacing w:before="100" w:beforeAutospacing="1" w:after="100" w:afterAutospacing="1"/>
              <w:jc w:val="right"/>
            </w:pPr>
            <w:r w:rsidRPr="009D05DD">
              <w:rPr>
                <w:sz w:val="20"/>
                <w:szCs w:val="20"/>
              </w:rPr>
              <w:t>27,5</w:t>
            </w:r>
          </w:p>
        </w:tc>
      </w:tr>
      <w:tr w:rsidR="009D05DD" w:rsidRPr="009D05DD" w:rsidTr="009D05DD">
        <w:trPr>
          <w:tblCellSpacing w:w="0" w:type="dxa"/>
          <w:jc w:val="center"/>
        </w:trPr>
        <w:tc>
          <w:tcPr>
            <w:tcW w:w="1215" w:type="dxa"/>
            <w:hideMark/>
          </w:tcPr>
          <w:p w:rsidR="009D05DD" w:rsidRPr="009D05DD" w:rsidRDefault="009D05DD" w:rsidP="009D05DD">
            <w:pPr>
              <w:spacing w:before="100" w:beforeAutospacing="1" w:after="100" w:afterAutospacing="1"/>
              <w:jc w:val="center"/>
            </w:pPr>
            <w:proofErr w:type="gramStart"/>
            <w:r w:rsidRPr="009D05DD">
              <w:rPr>
                <w:sz w:val="20"/>
                <w:szCs w:val="20"/>
              </w:rPr>
              <w:t>NaClO</w:t>
            </w:r>
            <w:r w:rsidRPr="009D05DD">
              <w:rPr>
                <w:sz w:val="20"/>
                <w:szCs w:val="20"/>
                <w:vertAlign w:val="subscript"/>
              </w:rPr>
              <w:t>3</w:t>
            </w:r>
            <w:proofErr w:type="gramEnd"/>
          </w:p>
        </w:tc>
        <w:tc>
          <w:tcPr>
            <w:tcW w:w="945" w:type="dxa"/>
            <w:hideMark/>
          </w:tcPr>
          <w:p w:rsidR="009D05DD" w:rsidRPr="009D05DD" w:rsidRDefault="009D05DD" w:rsidP="009D05DD">
            <w:pPr>
              <w:spacing w:before="100" w:beforeAutospacing="1" w:after="100" w:afterAutospacing="1"/>
              <w:jc w:val="right"/>
            </w:pPr>
            <w:r w:rsidRPr="009D05DD">
              <w:rPr>
                <w:sz w:val="20"/>
                <w:szCs w:val="20"/>
              </w:rPr>
              <w:t>3,86</w:t>
            </w:r>
          </w:p>
        </w:tc>
        <w:tc>
          <w:tcPr>
            <w:tcW w:w="1200" w:type="dxa"/>
            <w:hideMark/>
          </w:tcPr>
          <w:p w:rsidR="009D05DD" w:rsidRPr="009D05DD" w:rsidRDefault="009D05DD" w:rsidP="009D05DD">
            <w:pPr>
              <w:spacing w:before="100" w:beforeAutospacing="1" w:after="100" w:afterAutospacing="1"/>
              <w:jc w:val="right"/>
            </w:pPr>
            <w:r w:rsidRPr="009D05DD">
              <w:rPr>
                <w:sz w:val="20"/>
                <w:szCs w:val="20"/>
              </w:rPr>
              <w:t>1,0039</w:t>
            </w:r>
          </w:p>
        </w:tc>
        <w:tc>
          <w:tcPr>
            <w:tcW w:w="1140" w:type="dxa"/>
            <w:hideMark/>
          </w:tcPr>
          <w:p w:rsidR="009D05DD" w:rsidRPr="009D05DD" w:rsidRDefault="009D05DD" w:rsidP="009D05DD">
            <w:pPr>
              <w:spacing w:before="100" w:beforeAutospacing="1" w:after="100" w:afterAutospacing="1"/>
              <w:jc w:val="right"/>
            </w:pPr>
            <w:r w:rsidRPr="009D05DD">
              <w:rPr>
                <w:sz w:val="20"/>
                <w:szCs w:val="20"/>
              </w:rPr>
              <w:t>1,61</w:t>
            </w:r>
          </w:p>
        </w:tc>
        <w:tc>
          <w:tcPr>
            <w:tcW w:w="1200" w:type="dxa"/>
            <w:hideMark/>
          </w:tcPr>
          <w:p w:rsidR="009D05DD" w:rsidRPr="009D05DD" w:rsidRDefault="009D05DD" w:rsidP="009D05DD">
            <w:pPr>
              <w:spacing w:before="100" w:beforeAutospacing="1" w:after="100" w:afterAutospacing="1"/>
              <w:jc w:val="right"/>
            </w:pPr>
            <w:r w:rsidRPr="009D05DD">
              <w:rPr>
                <w:sz w:val="20"/>
                <w:szCs w:val="20"/>
              </w:rPr>
              <w:t>0,1517</w:t>
            </w:r>
          </w:p>
        </w:tc>
        <w:tc>
          <w:tcPr>
            <w:tcW w:w="1305" w:type="dxa"/>
            <w:hideMark/>
          </w:tcPr>
          <w:p w:rsidR="009D05DD" w:rsidRPr="009D05DD" w:rsidRDefault="009D05DD" w:rsidP="009D05DD">
            <w:pPr>
              <w:spacing w:before="100" w:beforeAutospacing="1" w:after="100" w:afterAutospacing="1"/>
              <w:jc w:val="right"/>
            </w:pPr>
            <w:r w:rsidRPr="009D05DD">
              <w:rPr>
                <w:sz w:val="20"/>
                <w:szCs w:val="20"/>
              </w:rPr>
              <w:t>67,0</w:t>
            </w:r>
          </w:p>
        </w:tc>
      </w:tr>
      <w:tr w:rsidR="009D05DD" w:rsidRPr="009D05DD" w:rsidTr="009D05DD">
        <w:trPr>
          <w:tblCellSpacing w:w="0" w:type="dxa"/>
          <w:jc w:val="center"/>
        </w:trPr>
        <w:tc>
          <w:tcPr>
            <w:tcW w:w="1215" w:type="dxa"/>
            <w:hideMark/>
          </w:tcPr>
          <w:p w:rsidR="009D05DD" w:rsidRPr="009D05DD" w:rsidRDefault="009D05DD" w:rsidP="009D05DD">
            <w:pPr>
              <w:spacing w:before="100" w:beforeAutospacing="1" w:after="100" w:afterAutospacing="1"/>
              <w:jc w:val="center"/>
            </w:pPr>
            <w:proofErr w:type="gramStart"/>
            <w:r w:rsidRPr="009D05DD">
              <w:rPr>
                <w:sz w:val="20"/>
                <w:szCs w:val="20"/>
              </w:rPr>
              <w:t>NaNO</w:t>
            </w:r>
            <w:r w:rsidRPr="009D05DD">
              <w:rPr>
                <w:sz w:val="20"/>
                <w:szCs w:val="20"/>
                <w:vertAlign w:val="subscript"/>
              </w:rPr>
              <w:t>3</w:t>
            </w:r>
            <w:proofErr w:type="gramEnd"/>
          </w:p>
        </w:tc>
        <w:tc>
          <w:tcPr>
            <w:tcW w:w="945" w:type="dxa"/>
            <w:hideMark/>
          </w:tcPr>
          <w:p w:rsidR="009D05DD" w:rsidRPr="009D05DD" w:rsidRDefault="009D05DD" w:rsidP="009D05DD">
            <w:pPr>
              <w:spacing w:before="100" w:beforeAutospacing="1" w:after="100" w:afterAutospacing="1"/>
              <w:jc w:val="right"/>
            </w:pPr>
            <w:r w:rsidRPr="009D05DD">
              <w:rPr>
                <w:sz w:val="20"/>
                <w:szCs w:val="20"/>
              </w:rPr>
              <w:t>5,85</w:t>
            </w:r>
          </w:p>
        </w:tc>
        <w:tc>
          <w:tcPr>
            <w:tcW w:w="1200" w:type="dxa"/>
            <w:hideMark/>
          </w:tcPr>
          <w:p w:rsidR="009D05DD" w:rsidRPr="009D05DD" w:rsidRDefault="009D05DD" w:rsidP="009D05DD">
            <w:pPr>
              <w:spacing w:before="100" w:beforeAutospacing="1" w:after="100" w:afterAutospacing="1"/>
              <w:jc w:val="right"/>
            </w:pPr>
            <w:r w:rsidRPr="009D05DD">
              <w:rPr>
                <w:sz w:val="20"/>
                <w:szCs w:val="20"/>
              </w:rPr>
              <w:t>0,8602</w:t>
            </w:r>
          </w:p>
        </w:tc>
        <w:tc>
          <w:tcPr>
            <w:tcW w:w="1140" w:type="dxa"/>
            <w:hideMark/>
          </w:tcPr>
          <w:p w:rsidR="009D05DD" w:rsidRPr="009D05DD" w:rsidRDefault="009D05DD" w:rsidP="009D05DD">
            <w:pPr>
              <w:spacing w:before="100" w:beforeAutospacing="1" w:after="100" w:afterAutospacing="1"/>
              <w:jc w:val="right"/>
            </w:pPr>
            <w:r w:rsidRPr="009D05DD">
              <w:rPr>
                <w:sz w:val="20"/>
                <w:szCs w:val="20"/>
              </w:rPr>
              <w:t>2,01</w:t>
            </w:r>
          </w:p>
        </w:tc>
        <w:tc>
          <w:tcPr>
            <w:tcW w:w="1200" w:type="dxa"/>
            <w:hideMark/>
          </w:tcPr>
          <w:p w:rsidR="009D05DD" w:rsidRPr="009D05DD" w:rsidRDefault="009D05DD" w:rsidP="009D05DD">
            <w:pPr>
              <w:spacing w:before="100" w:beforeAutospacing="1" w:after="100" w:afterAutospacing="1"/>
              <w:jc w:val="right"/>
            </w:pPr>
            <w:r w:rsidRPr="009D05DD">
              <w:rPr>
                <w:sz w:val="20"/>
                <w:szCs w:val="20"/>
              </w:rPr>
              <w:t>0,1779</w:t>
            </w:r>
          </w:p>
        </w:tc>
        <w:tc>
          <w:tcPr>
            <w:tcW w:w="1305" w:type="dxa"/>
            <w:hideMark/>
          </w:tcPr>
          <w:p w:rsidR="009D05DD" w:rsidRPr="009D05DD" w:rsidRDefault="009D05DD" w:rsidP="009D05DD">
            <w:pPr>
              <w:spacing w:before="100" w:beforeAutospacing="1" w:after="100" w:afterAutospacing="1"/>
              <w:jc w:val="right"/>
            </w:pPr>
            <w:r w:rsidRPr="009D05DD">
              <w:rPr>
                <w:sz w:val="20"/>
                <w:szCs w:val="20"/>
              </w:rPr>
              <w:t>70,0</w:t>
            </w:r>
          </w:p>
        </w:tc>
      </w:tr>
    </w:tbl>
    <w:p w:rsidR="009D05DD" w:rsidRPr="009D05DD" w:rsidRDefault="009D05DD" w:rsidP="009D05DD">
      <w:pPr>
        <w:spacing w:beforeAutospacing="1" w:after="100" w:afterAutospacing="1"/>
      </w:pPr>
      <w:r w:rsidRPr="009D05DD">
        <w:t> </w:t>
      </w:r>
    </w:p>
    <w:p w:rsidR="009D05DD" w:rsidRPr="009D05DD" w:rsidRDefault="009D05DD" w:rsidP="009D05DD">
      <w:pPr>
        <w:spacing w:beforeAutospacing="1" w:after="100" w:afterAutospacing="1"/>
      </w:pPr>
      <w:r w:rsidRPr="009D05DD">
        <w:rPr>
          <w:b/>
          <w:bCs/>
          <w:sz w:val="27"/>
          <w:szCs w:val="27"/>
        </w:rPr>
        <w:t>Comentários finais</w:t>
      </w:r>
    </w:p>
    <w:p w:rsidR="009D05DD" w:rsidRPr="009D05DD" w:rsidRDefault="009D05DD" w:rsidP="009D05DD">
      <w:pPr>
        <w:spacing w:before="100" w:beforeAutospacing="1" w:after="100" w:afterAutospacing="1"/>
      </w:pPr>
      <w:r w:rsidRPr="009D05DD">
        <w:t> </w:t>
      </w:r>
    </w:p>
    <w:p w:rsidR="009D05DD" w:rsidRPr="009D05DD" w:rsidRDefault="009D05DD" w:rsidP="009D05DD">
      <w:pPr>
        <w:spacing w:before="100" w:beforeAutospacing="1" w:after="100" w:afterAutospacing="1"/>
      </w:pPr>
      <w:r w:rsidRPr="009D05DD">
        <w:rPr>
          <w:sz w:val="27"/>
          <w:szCs w:val="27"/>
        </w:rPr>
        <w:t>         Informações sobre a elevação do ponto de ebulição de soluções aquosas são fundamentais no estudo de diversas operações unitárias da indústria química. Nota-se</w:t>
      </w:r>
      <w:proofErr w:type="gramStart"/>
      <w:r w:rsidRPr="009D05DD">
        <w:rPr>
          <w:sz w:val="27"/>
          <w:szCs w:val="27"/>
        </w:rPr>
        <w:t xml:space="preserve"> entretanto</w:t>
      </w:r>
      <w:proofErr w:type="gramEnd"/>
      <w:r w:rsidRPr="009D05DD">
        <w:rPr>
          <w:sz w:val="27"/>
          <w:szCs w:val="27"/>
        </w:rPr>
        <w:t xml:space="preserve"> que estes dados não são encontrados facilmente na literatura. Entretanto, dados de pressão parcial da água sobre soluções aquosas são encontrados com maior facilidade nos livros usualmente consultados por estudantes de engenharia química. Este trabalho apresenta um procedimento, baseado em princípios de termodinâmica, para calcular a elevação do ponto de ebulição de soluções a partir de dados de pressão parcial da água. Finalmente, os parâmetros da correlação empírica de </w:t>
      </w:r>
      <w:proofErr w:type="spellStart"/>
      <w:r w:rsidRPr="009D05DD">
        <w:rPr>
          <w:sz w:val="27"/>
          <w:szCs w:val="27"/>
        </w:rPr>
        <w:t>Capriste</w:t>
      </w:r>
      <w:proofErr w:type="spellEnd"/>
      <w:r w:rsidRPr="009D05DD">
        <w:rPr>
          <w:sz w:val="27"/>
          <w:szCs w:val="27"/>
        </w:rPr>
        <w:t xml:space="preserve"> e Lozano foram ajustados para  algumas soluções.</w:t>
      </w:r>
    </w:p>
    <w:p w:rsidR="009D05DD" w:rsidRPr="009D05DD" w:rsidRDefault="009D05DD" w:rsidP="009D05DD">
      <w:pPr>
        <w:spacing w:before="100" w:beforeAutospacing="1" w:after="100" w:afterAutospacing="1"/>
      </w:pPr>
      <w:r w:rsidRPr="009D05DD">
        <w:rPr>
          <w:b/>
          <w:bCs/>
          <w:sz w:val="27"/>
          <w:szCs w:val="27"/>
        </w:rPr>
        <w:t>Nomenclatura</w:t>
      </w:r>
    </w:p>
    <w:p w:rsidR="009D05DD" w:rsidRPr="009D05DD" w:rsidRDefault="009D05DD" w:rsidP="009D05DD">
      <w:pPr>
        <w:spacing w:before="100" w:beforeAutospacing="1" w:after="100" w:afterAutospacing="1"/>
      </w:pPr>
      <w:r w:rsidRPr="009D05DD">
        <w:rPr>
          <w:i/>
          <w:iCs/>
          <w:sz w:val="27"/>
          <w:szCs w:val="27"/>
          <w:lang w:val="pt-PT"/>
        </w:rPr>
        <w:t>P</w:t>
      </w:r>
      <w:r w:rsidRPr="009D05DD">
        <w:rPr>
          <w:sz w:val="27"/>
          <w:szCs w:val="27"/>
        </w:rPr>
        <w:t>                Pressão (</w:t>
      </w:r>
      <w:proofErr w:type="gramStart"/>
      <w:r w:rsidRPr="009D05DD">
        <w:rPr>
          <w:sz w:val="27"/>
          <w:szCs w:val="27"/>
        </w:rPr>
        <w:t>kPa</w:t>
      </w:r>
      <w:proofErr w:type="gramEnd"/>
      <w:r w:rsidRPr="009D05DD">
        <w:rPr>
          <w:sz w:val="27"/>
          <w:szCs w:val="27"/>
        </w:rPr>
        <w:t>)</w:t>
      </w:r>
    </w:p>
    <w:p w:rsidR="009D05DD" w:rsidRPr="009D05DD" w:rsidRDefault="009D05DD" w:rsidP="009D05DD">
      <w:pPr>
        <w:spacing w:before="100" w:beforeAutospacing="1" w:after="100" w:afterAutospacing="1"/>
      </w:pPr>
      <w:r w:rsidRPr="009D05DD">
        <w:rPr>
          <w:i/>
          <w:iCs/>
          <w:sz w:val="27"/>
          <w:szCs w:val="27"/>
          <w:lang w:val="pt-PT"/>
        </w:rPr>
        <w:t>T</w:t>
      </w:r>
      <w:r w:rsidRPr="009D05DD">
        <w:rPr>
          <w:sz w:val="27"/>
          <w:szCs w:val="27"/>
        </w:rPr>
        <w:t>                 Temperatura (°C)</w:t>
      </w:r>
    </w:p>
    <w:p w:rsidR="009D05DD" w:rsidRPr="009D05DD" w:rsidRDefault="009D05DD" w:rsidP="009D05DD">
      <w:pPr>
        <w:spacing w:before="100" w:beforeAutospacing="1" w:after="100" w:afterAutospacing="1"/>
      </w:pPr>
      <w:r w:rsidRPr="009D05DD">
        <w:rPr>
          <w:i/>
          <w:iCs/>
          <w:sz w:val="27"/>
          <w:szCs w:val="27"/>
          <w:lang w:val="pt-PT"/>
        </w:rPr>
        <w:t>w</w:t>
      </w:r>
      <w:r w:rsidRPr="009D05DD">
        <w:rPr>
          <w:sz w:val="27"/>
          <w:szCs w:val="27"/>
        </w:rPr>
        <w:t>                Fração mássica de sólidos</w:t>
      </w:r>
    </w:p>
    <w:p w:rsidR="009D05DD" w:rsidRPr="009D05DD" w:rsidRDefault="009D05DD" w:rsidP="009D05DD">
      <w:pPr>
        <w:spacing w:before="100" w:beforeAutospacing="1" w:after="100" w:afterAutospacing="1"/>
      </w:pPr>
      <w:proofErr w:type="gramStart"/>
      <w:r w:rsidRPr="009D05DD">
        <w:rPr>
          <w:sz w:val="27"/>
          <w:szCs w:val="27"/>
        </w:rPr>
        <w:t>a</w:t>
      </w:r>
      <w:proofErr w:type="gramEnd"/>
      <w:r w:rsidRPr="009D05DD">
        <w:rPr>
          <w:sz w:val="27"/>
          <w:szCs w:val="27"/>
        </w:rPr>
        <w:t xml:space="preserve">                 Constante da equação de </w:t>
      </w:r>
      <w:proofErr w:type="spellStart"/>
      <w:r w:rsidRPr="009D05DD">
        <w:rPr>
          <w:sz w:val="27"/>
          <w:szCs w:val="27"/>
        </w:rPr>
        <w:t>Capriste</w:t>
      </w:r>
      <w:proofErr w:type="spellEnd"/>
      <w:r w:rsidRPr="009D05DD">
        <w:rPr>
          <w:sz w:val="27"/>
          <w:szCs w:val="27"/>
        </w:rPr>
        <w:t xml:space="preserve"> e Lozano</w:t>
      </w:r>
    </w:p>
    <w:p w:rsidR="009D05DD" w:rsidRPr="009D05DD" w:rsidRDefault="009D05DD" w:rsidP="009D05DD">
      <w:pPr>
        <w:spacing w:before="100" w:beforeAutospacing="1" w:after="100" w:afterAutospacing="1"/>
      </w:pPr>
      <w:r w:rsidRPr="009D05DD">
        <w:rPr>
          <w:sz w:val="27"/>
          <w:szCs w:val="27"/>
        </w:rPr>
        <w:t xml:space="preserve">b                 Constante da equação de </w:t>
      </w:r>
      <w:proofErr w:type="spellStart"/>
      <w:r w:rsidRPr="009D05DD">
        <w:rPr>
          <w:sz w:val="27"/>
          <w:szCs w:val="27"/>
        </w:rPr>
        <w:t>Capriste</w:t>
      </w:r>
      <w:proofErr w:type="spellEnd"/>
      <w:r w:rsidRPr="009D05DD">
        <w:rPr>
          <w:sz w:val="27"/>
          <w:szCs w:val="27"/>
        </w:rPr>
        <w:t xml:space="preserve"> e Lozano</w:t>
      </w:r>
    </w:p>
    <w:p w:rsidR="009D05DD" w:rsidRPr="009D05DD" w:rsidRDefault="009D05DD" w:rsidP="009D05DD">
      <w:pPr>
        <w:spacing w:before="100" w:beforeAutospacing="1" w:after="100" w:afterAutospacing="1"/>
      </w:pPr>
      <w:r w:rsidRPr="009D05DD">
        <w:rPr>
          <w:sz w:val="27"/>
          <w:szCs w:val="27"/>
        </w:rPr>
        <w:t xml:space="preserve">d                 Constante da equação de </w:t>
      </w:r>
      <w:proofErr w:type="spellStart"/>
      <w:r w:rsidRPr="009D05DD">
        <w:rPr>
          <w:sz w:val="27"/>
          <w:szCs w:val="27"/>
        </w:rPr>
        <w:t>Capriste</w:t>
      </w:r>
      <w:proofErr w:type="spellEnd"/>
      <w:r w:rsidRPr="009D05DD">
        <w:rPr>
          <w:sz w:val="27"/>
          <w:szCs w:val="27"/>
        </w:rPr>
        <w:t xml:space="preserve"> e Lozano</w:t>
      </w:r>
    </w:p>
    <w:p w:rsidR="009D05DD" w:rsidRPr="009D05DD" w:rsidRDefault="009D05DD" w:rsidP="009D05DD">
      <w:pPr>
        <w:spacing w:before="100" w:beforeAutospacing="1" w:after="100" w:afterAutospacing="1"/>
      </w:pPr>
      <w:r w:rsidRPr="009D05DD">
        <w:rPr>
          <w:sz w:val="27"/>
          <w:szCs w:val="27"/>
        </w:rPr>
        <w:t xml:space="preserve">g                 Constante da equação de </w:t>
      </w:r>
      <w:proofErr w:type="spellStart"/>
      <w:r w:rsidRPr="009D05DD">
        <w:rPr>
          <w:sz w:val="27"/>
          <w:szCs w:val="27"/>
        </w:rPr>
        <w:t>Capriste</w:t>
      </w:r>
      <w:proofErr w:type="spellEnd"/>
      <w:r w:rsidRPr="009D05DD">
        <w:rPr>
          <w:sz w:val="27"/>
          <w:szCs w:val="27"/>
        </w:rPr>
        <w:t xml:space="preserve"> e Lozano</w:t>
      </w:r>
    </w:p>
    <w:p w:rsidR="009D05DD" w:rsidRPr="009D05DD" w:rsidRDefault="009D05DD" w:rsidP="009D05DD">
      <w:pPr>
        <w:spacing w:before="100" w:beforeAutospacing="1" w:after="100" w:afterAutospacing="1"/>
      </w:pPr>
      <w:proofErr w:type="gramStart"/>
      <w:r w:rsidRPr="009D05DD">
        <w:rPr>
          <w:sz w:val="27"/>
          <w:szCs w:val="27"/>
          <w:lang w:val="pt-PT"/>
        </w:rPr>
        <w:lastRenderedPageBreak/>
        <w:t>D</w:t>
      </w:r>
      <w:r w:rsidRPr="009D05DD">
        <w:rPr>
          <w:i/>
          <w:iCs/>
          <w:sz w:val="27"/>
          <w:szCs w:val="27"/>
          <w:lang w:val="pt-PT"/>
        </w:rPr>
        <w:t>T</w:t>
      </w:r>
      <w:r w:rsidRPr="009D05DD">
        <w:rPr>
          <w:i/>
          <w:iCs/>
          <w:sz w:val="27"/>
          <w:szCs w:val="27"/>
          <w:vertAlign w:val="subscript"/>
          <w:lang w:val="pt-PT"/>
        </w:rPr>
        <w:t>eb</w:t>
      </w:r>
      <w:proofErr w:type="gramEnd"/>
      <w:r w:rsidRPr="009D05DD">
        <w:rPr>
          <w:sz w:val="27"/>
          <w:szCs w:val="27"/>
        </w:rPr>
        <w:t>            Elevação do ponto de ebulição (°C)</w:t>
      </w:r>
    </w:p>
    <w:p w:rsidR="009D05DD" w:rsidRPr="009D05DD" w:rsidRDefault="009D05DD" w:rsidP="009D05DD">
      <w:pPr>
        <w:spacing w:before="100" w:beforeAutospacing="1" w:after="100" w:afterAutospacing="1"/>
        <w:outlineLvl w:val="1"/>
        <w:rPr>
          <w:b/>
          <w:bCs/>
          <w:sz w:val="36"/>
          <w:szCs w:val="36"/>
        </w:rPr>
      </w:pPr>
      <w:r w:rsidRPr="009D05DD">
        <w:rPr>
          <w:b/>
          <w:bCs/>
          <w:sz w:val="27"/>
          <w:szCs w:val="27"/>
          <w:lang w:val="pt-PT"/>
        </w:rPr>
        <w:t>Bibliografia</w:t>
      </w:r>
    </w:p>
    <w:p w:rsidR="009D05DD" w:rsidRPr="009D05DD" w:rsidRDefault="009D05DD" w:rsidP="009D05DD">
      <w:pPr>
        <w:spacing w:before="100" w:beforeAutospacing="1" w:after="100" w:afterAutospacing="1"/>
      </w:pPr>
      <w:r w:rsidRPr="009D05DD">
        <w:rPr>
          <w:sz w:val="27"/>
          <w:szCs w:val="27"/>
        </w:rPr>
        <w:t xml:space="preserve">[1] Perry, R. H.; Green, D. W. (1997), </w:t>
      </w:r>
      <w:proofErr w:type="spellStart"/>
      <w:r w:rsidRPr="009D05DD">
        <w:rPr>
          <w:sz w:val="27"/>
          <w:szCs w:val="27"/>
        </w:rPr>
        <w:t>Peery´s</w:t>
      </w:r>
      <w:proofErr w:type="spellEnd"/>
      <w:r w:rsidRPr="009D05DD">
        <w:rPr>
          <w:sz w:val="27"/>
          <w:szCs w:val="27"/>
        </w:rPr>
        <w:t xml:space="preserve"> </w:t>
      </w:r>
      <w:proofErr w:type="spellStart"/>
      <w:r w:rsidRPr="009D05DD">
        <w:rPr>
          <w:sz w:val="27"/>
          <w:szCs w:val="27"/>
        </w:rPr>
        <w:t>Chemical</w:t>
      </w:r>
      <w:proofErr w:type="spellEnd"/>
      <w:r w:rsidRPr="009D05DD">
        <w:rPr>
          <w:sz w:val="27"/>
          <w:szCs w:val="27"/>
        </w:rPr>
        <w:t xml:space="preserve"> </w:t>
      </w:r>
      <w:proofErr w:type="spellStart"/>
      <w:r w:rsidRPr="009D05DD">
        <w:rPr>
          <w:sz w:val="27"/>
          <w:szCs w:val="27"/>
        </w:rPr>
        <w:t>Engineering</w:t>
      </w:r>
      <w:proofErr w:type="spellEnd"/>
      <w:r w:rsidRPr="009D05DD">
        <w:rPr>
          <w:sz w:val="27"/>
          <w:szCs w:val="27"/>
        </w:rPr>
        <w:t xml:space="preserve"> </w:t>
      </w:r>
      <w:proofErr w:type="spellStart"/>
      <w:r w:rsidRPr="009D05DD">
        <w:rPr>
          <w:sz w:val="27"/>
          <w:szCs w:val="27"/>
        </w:rPr>
        <w:t>Handbook</w:t>
      </w:r>
      <w:proofErr w:type="spellEnd"/>
      <w:r w:rsidRPr="009D05DD">
        <w:rPr>
          <w:sz w:val="27"/>
          <w:szCs w:val="27"/>
        </w:rPr>
        <w:t xml:space="preserve">. </w:t>
      </w:r>
      <w:proofErr w:type="gramStart"/>
      <w:r w:rsidRPr="009D05DD">
        <w:rPr>
          <w:sz w:val="27"/>
          <w:szCs w:val="27"/>
        </w:rPr>
        <w:t>7a.</w:t>
      </w:r>
      <w:proofErr w:type="gramEnd"/>
      <w:r w:rsidRPr="009D05DD">
        <w:rPr>
          <w:sz w:val="27"/>
          <w:szCs w:val="27"/>
        </w:rPr>
        <w:t xml:space="preserve"> </w:t>
      </w:r>
      <w:proofErr w:type="gramStart"/>
      <w:r w:rsidRPr="009D05DD">
        <w:rPr>
          <w:sz w:val="27"/>
          <w:szCs w:val="27"/>
        </w:rPr>
        <w:t>edição</w:t>
      </w:r>
      <w:proofErr w:type="gramEnd"/>
      <w:r w:rsidRPr="009D05DD">
        <w:rPr>
          <w:sz w:val="27"/>
          <w:szCs w:val="27"/>
        </w:rPr>
        <w:t>, McGraw-Hill.</w:t>
      </w:r>
    </w:p>
    <w:p w:rsidR="009D05DD" w:rsidRPr="009D05DD" w:rsidRDefault="009D05DD" w:rsidP="009D05DD">
      <w:pPr>
        <w:spacing w:before="100" w:beforeAutospacing="1" w:after="100" w:afterAutospacing="1"/>
      </w:pPr>
      <w:r w:rsidRPr="009D05DD">
        <w:rPr>
          <w:sz w:val="27"/>
          <w:szCs w:val="27"/>
        </w:rPr>
        <w:t xml:space="preserve">[2] </w:t>
      </w:r>
      <w:proofErr w:type="spellStart"/>
      <w:r w:rsidRPr="009D05DD">
        <w:rPr>
          <w:sz w:val="27"/>
          <w:szCs w:val="27"/>
        </w:rPr>
        <w:t>McCabe</w:t>
      </w:r>
      <w:proofErr w:type="spellEnd"/>
      <w:r w:rsidRPr="009D05DD">
        <w:rPr>
          <w:sz w:val="27"/>
          <w:szCs w:val="27"/>
        </w:rPr>
        <w:t xml:space="preserve">, W. L.; Smith, J. C.; </w:t>
      </w:r>
      <w:proofErr w:type="spellStart"/>
      <w:r w:rsidRPr="009D05DD">
        <w:rPr>
          <w:sz w:val="27"/>
          <w:szCs w:val="27"/>
        </w:rPr>
        <w:t>Harriott</w:t>
      </w:r>
      <w:proofErr w:type="spellEnd"/>
      <w:r w:rsidRPr="009D05DD">
        <w:rPr>
          <w:sz w:val="27"/>
          <w:szCs w:val="27"/>
        </w:rPr>
        <w:t xml:space="preserve">, P. (1985), Unit </w:t>
      </w:r>
      <w:proofErr w:type="spellStart"/>
      <w:r w:rsidRPr="009D05DD">
        <w:rPr>
          <w:sz w:val="27"/>
          <w:szCs w:val="27"/>
        </w:rPr>
        <w:t>Operations</w:t>
      </w:r>
      <w:proofErr w:type="spellEnd"/>
      <w:r w:rsidRPr="009D05DD">
        <w:rPr>
          <w:sz w:val="27"/>
          <w:szCs w:val="27"/>
        </w:rPr>
        <w:t xml:space="preserve"> </w:t>
      </w:r>
      <w:proofErr w:type="spellStart"/>
      <w:r w:rsidRPr="009D05DD">
        <w:rPr>
          <w:sz w:val="27"/>
          <w:szCs w:val="27"/>
        </w:rPr>
        <w:t>of</w:t>
      </w:r>
      <w:proofErr w:type="spellEnd"/>
      <w:r w:rsidRPr="009D05DD">
        <w:rPr>
          <w:sz w:val="27"/>
          <w:szCs w:val="27"/>
        </w:rPr>
        <w:t xml:space="preserve"> </w:t>
      </w:r>
      <w:proofErr w:type="spellStart"/>
      <w:r w:rsidRPr="009D05DD">
        <w:rPr>
          <w:sz w:val="27"/>
          <w:szCs w:val="27"/>
        </w:rPr>
        <w:t>Chemical</w:t>
      </w:r>
      <w:proofErr w:type="spellEnd"/>
      <w:r w:rsidRPr="009D05DD">
        <w:rPr>
          <w:sz w:val="27"/>
          <w:szCs w:val="27"/>
        </w:rPr>
        <w:t xml:space="preserve"> </w:t>
      </w:r>
      <w:proofErr w:type="spellStart"/>
      <w:r w:rsidRPr="009D05DD">
        <w:rPr>
          <w:sz w:val="27"/>
          <w:szCs w:val="27"/>
        </w:rPr>
        <w:t>Engineering</w:t>
      </w:r>
      <w:proofErr w:type="spellEnd"/>
      <w:r w:rsidRPr="009D05DD">
        <w:rPr>
          <w:sz w:val="27"/>
          <w:szCs w:val="27"/>
        </w:rPr>
        <w:t xml:space="preserve">, </w:t>
      </w:r>
      <w:proofErr w:type="gramStart"/>
      <w:r w:rsidRPr="009D05DD">
        <w:rPr>
          <w:sz w:val="27"/>
          <w:szCs w:val="27"/>
        </w:rPr>
        <w:t>4a.</w:t>
      </w:r>
      <w:proofErr w:type="gramEnd"/>
      <w:r w:rsidRPr="009D05DD">
        <w:rPr>
          <w:sz w:val="27"/>
          <w:szCs w:val="27"/>
        </w:rPr>
        <w:t xml:space="preserve"> </w:t>
      </w:r>
      <w:proofErr w:type="gramStart"/>
      <w:r w:rsidRPr="009D05DD">
        <w:rPr>
          <w:sz w:val="27"/>
          <w:szCs w:val="27"/>
        </w:rPr>
        <w:t>edição</w:t>
      </w:r>
      <w:proofErr w:type="gramEnd"/>
      <w:r w:rsidRPr="009D05DD">
        <w:rPr>
          <w:sz w:val="27"/>
          <w:szCs w:val="27"/>
        </w:rPr>
        <w:t>, McGraw-Hill.</w:t>
      </w:r>
    </w:p>
    <w:p w:rsidR="009D05DD" w:rsidRPr="009D05DD" w:rsidRDefault="009D05DD" w:rsidP="009D05DD">
      <w:pPr>
        <w:spacing w:before="100" w:beforeAutospacing="1" w:after="100" w:afterAutospacing="1"/>
      </w:pPr>
      <w:r w:rsidRPr="009D05DD">
        <w:rPr>
          <w:sz w:val="27"/>
          <w:szCs w:val="27"/>
        </w:rPr>
        <w:t xml:space="preserve">[3] </w:t>
      </w:r>
      <w:proofErr w:type="spellStart"/>
      <w:r w:rsidRPr="009D05DD">
        <w:rPr>
          <w:sz w:val="27"/>
          <w:szCs w:val="27"/>
        </w:rPr>
        <w:t>National</w:t>
      </w:r>
      <w:proofErr w:type="spellEnd"/>
      <w:r w:rsidRPr="009D05DD">
        <w:rPr>
          <w:sz w:val="27"/>
          <w:szCs w:val="27"/>
        </w:rPr>
        <w:t xml:space="preserve"> </w:t>
      </w:r>
      <w:proofErr w:type="spellStart"/>
      <w:r w:rsidRPr="009D05DD">
        <w:rPr>
          <w:sz w:val="27"/>
          <w:szCs w:val="27"/>
        </w:rPr>
        <w:t>Research</w:t>
      </w:r>
      <w:proofErr w:type="spellEnd"/>
      <w:r w:rsidRPr="009D05DD">
        <w:rPr>
          <w:sz w:val="27"/>
          <w:szCs w:val="27"/>
        </w:rPr>
        <w:t xml:space="preserve"> </w:t>
      </w:r>
      <w:proofErr w:type="spellStart"/>
      <w:r w:rsidRPr="009D05DD">
        <w:rPr>
          <w:sz w:val="27"/>
          <w:szCs w:val="27"/>
        </w:rPr>
        <w:t>Council</w:t>
      </w:r>
      <w:proofErr w:type="spellEnd"/>
      <w:r w:rsidRPr="009D05DD">
        <w:rPr>
          <w:sz w:val="27"/>
          <w:szCs w:val="27"/>
        </w:rPr>
        <w:t xml:space="preserve"> (1928), </w:t>
      </w:r>
      <w:proofErr w:type="spellStart"/>
      <w:r w:rsidRPr="009D05DD">
        <w:rPr>
          <w:sz w:val="27"/>
          <w:szCs w:val="27"/>
        </w:rPr>
        <w:t>International</w:t>
      </w:r>
      <w:proofErr w:type="spellEnd"/>
      <w:r w:rsidRPr="009D05DD">
        <w:rPr>
          <w:sz w:val="27"/>
          <w:szCs w:val="27"/>
        </w:rPr>
        <w:t xml:space="preserve"> </w:t>
      </w:r>
      <w:proofErr w:type="spellStart"/>
      <w:r w:rsidRPr="009D05DD">
        <w:rPr>
          <w:sz w:val="27"/>
          <w:szCs w:val="27"/>
        </w:rPr>
        <w:t>Critical</w:t>
      </w:r>
      <w:proofErr w:type="spellEnd"/>
      <w:r w:rsidRPr="009D05DD">
        <w:rPr>
          <w:sz w:val="27"/>
          <w:szCs w:val="27"/>
        </w:rPr>
        <w:t xml:space="preserve"> </w:t>
      </w:r>
      <w:proofErr w:type="spellStart"/>
      <w:r w:rsidRPr="009D05DD">
        <w:rPr>
          <w:sz w:val="27"/>
          <w:szCs w:val="27"/>
        </w:rPr>
        <w:t>Tables</w:t>
      </w:r>
      <w:proofErr w:type="spellEnd"/>
      <w:r w:rsidRPr="009D05DD">
        <w:rPr>
          <w:sz w:val="27"/>
          <w:szCs w:val="27"/>
        </w:rPr>
        <w:t xml:space="preserve"> </w:t>
      </w:r>
      <w:proofErr w:type="spellStart"/>
      <w:r w:rsidRPr="009D05DD">
        <w:rPr>
          <w:sz w:val="27"/>
          <w:szCs w:val="27"/>
        </w:rPr>
        <w:t>of</w:t>
      </w:r>
      <w:proofErr w:type="spellEnd"/>
      <w:r w:rsidRPr="009D05DD">
        <w:rPr>
          <w:sz w:val="27"/>
          <w:szCs w:val="27"/>
        </w:rPr>
        <w:t xml:space="preserve"> </w:t>
      </w:r>
      <w:proofErr w:type="spellStart"/>
      <w:r w:rsidRPr="009D05DD">
        <w:rPr>
          <w:sz w:val="27"/>
          <w:szCs w:val="27"/>
        </w:rPr>
        <w:t>Numerical</w:t>
      </w:r>
      <w:proofErr w:type="spellEnd"/>
      <w:r w:rsidRPr="009D05DD">
        <w:rPr>
          <w:sz w:val="27"/>
          <w:szCs w:val="27"/>
        </w:rPr>
        <w:t xml:space="preserve"> Data, </w:t>
      </w:r>
      <w:proofErr w:type="spellStart"/>
      <w:r w:rsidRPr="009D05DD">
        <w:rPr>
          <w:sz w:val="27"/>
          <w:szCs w:val="27"/>
        </w:rPr>
        <w:t>Physics</w:t>
      </w:r>
      <w:proofErr w:type="spellEnd"/>
      <w:r w:rsidRPr="009D05DD">
        <w:rPr>
          <w:sz w:val="27"/>
          <w:szCs w:val="27"/>
        </w:rPr>
        <w:t xml:space="preserve">, </w:t>
      </w:r>
      <w:proofErr w:type="spellStart"/>
      <w:r w:rsidRPr="009D05DD">
        <w:rPr>
          <w:sz w:val="27"/>
          <w:szCs w:val="27"/>
        </w:rPr>
        <w:t>Chemistry</w:t>
      </w:r>
      <w:proofErr w:type="spellEnd"/>
      <w:r w:rsidRPr="009D05DD">
        <w:rPr>
          <w:sz w:val="27"/>
          <w:szCs w:val="27"/>
        </w:rPr>
        <w:t xml:space="preserve"> </w:t>
      </w:r>
      <w:proofErr w:type="spellStart"/>
      <w:r w:rsidRPr="009D05DD">
        <w:rPr>
          <w:sz w:val="27"/>
          <w:szCs w:val="27"/>
        </w:rPr>
        <w:t>and</w:t>
      </w:r>
      <w:proofErr w:type="spellEnd"/>
      <w:r w:rsidRPr="009D05DD">
        <w:rPr>
          <w:sz w:val="27"/>
          <w:szCs w:val="27"/>
        </w:rPr>
        <w:t xml:space="preserve"> Technology. McGraw-Hill Book </w:t>
      </w:r>
      <w:proofErr w:type="spellStart"/>
      <w:r w:rsidRPr="009D05DD">
        <w:rPr>
          <w:sz w:val="27"/>
          <w:szCs w:val="27"/>
        </w:rPr>
        <w:t>Company</w:t>
      </w:r>
      <w:proofErr w:type="spellEnd"/>
      <w:r w:rsidRPr="009D05DD">
        <w:rPr>
          <w:sz w:val="27"/>
          <w:szCs w:val="27"/>
        </w:rPr>
        <w:t>, Inc.</w:t>
      </w:r>
    </w:p>
    <w:p w:rsidR="009D05DD" w:rsidRPr="009D05DD" w:rsidRDefault="009D05DD" w:rsidP="009D05DD">
      <w:pPr>
        <w:spacing w:before="100" w:beforeAutospacing="1" w:afterAutospacing="1"/>
      </w:pPr>
      <w:r w:rsidRPr="009D05DD">
        <w:rPr>
          <w:sz w:val="27"/>
          <w:szCs w:val="27"/>
        </w:rPr>
        <w:t xml:space="preserve">[4] </w:t>
      </w:r>
      <w:proofErr w:type="spellStart"/>
      <w:r w:rsidRPr="009D05DD">
        <w:rPr>
          <w:sz w:val="27"/>
          <w:szCs w:val="27"/>
        </w:rPr>
        <w:t>Capriste</w:t>
      </w:r>
      <w:proofErr w:type="spellEnd"/>
      <w:r w:rsidRPr="009D05DD">
        <w:rPr>
          <w:sz w:val="27"/>
          <w:szCs w:val="27"/>
        </w:rPr>
        <w:t xml:space="preserve">, G. H.; Lozano, J. E. (1988), </w:t>
      </w:r>
      <w:proofErr w:type="spellStart"/>
      <w:r w:rsidRPr="009D05DD">
        <w:rPr>
          <w:sz w:val="27"/>
          <w:szCs w:val="27"/>
        </w:rPr>
        <w:t>Effect</w:t>
      </w:r>
      <w:proofErr w:type="spellEnd"/>
      <w:r w:rsidRPr="009D05DD">
        <w:rPr>
          <w:sz w:val="27"/>
          <w:szCs w:val="27"/>
        </w:rPr>
        <w:t xml:space="preserve"> </w:t>
      </w:r>
      <w:proofErr w:type="spellStart"/>
      <w:r w:rsidRPr="009D05DD">
        <w:rPr>
          <w:sz w:val="27"/>
          <w:szCs w:val="27"/>
        </w:rPr>
        <w:t>of</w:t>
      </w:r>
      <w:proofErr w:type="spellEnd"/>
      <w:r w:rsidRPr="009D05DD">
        <w:rPr>
          <w:sz w:val="27"/>
          <w:szCs w:val="27"/>
        </w:rPr>
        <w:t xml:space="preserve"> </w:t>
      </w:r>
      <w:proofErr w:type="spellStart"/>
      <w:r w:rsidRPr="009D05DD">
        <w:rPr>
          <w:sz w:val="27"/>
          <w:szCs w:val="27"/>
        </w:rPr>
        <w:t>concentration</w:t>
      </w:r>
      <w:proofErr w:type="spellEnd"/>
      <w:r w:rsidRPr="009D05DD">
        <w:rPr>
          <w:sz w:val="27"/>
          <w:szCs w:val="27"/>
        </w:rPr>
        <w:t xml:space="preserve"> </w:t>
      </w:r>
      <w:proofErr w:type="spellStart"/>
      <w:r w:rsidRPr="009D05DD">
        <w:rPr>
          <w:sz w:val="27"/>
          <w:szCs w:val="27"/>
        </w:rPr>
        <w:t>and</w:t>
      </w:r>
      <w:proofErr w:type="spellEnd"/>
      <w:r w:rsidRPr="009D05DD">
        <w:rPr>
          <w:sz w:val="27"/>
          <w:szCs w:val="27"/>
        </w:rPr>
        <w:t xml:space="preserve"> </w:t>
      </w:r>
      <w:proofErr w:type="spellStart"/>
      <w:r w:rsidRPr="009D05DD">
        <w:rPr>
          <w:sz w:val="27"/>
          <w:szCs w:val="27"/>
        </w:rPr>
        <w:t>pressure</w:t>
      </w:r>
      <w:proofErr w:type="spellEnd"/>
      <w:r w:rsidRPr="009D05DD">
        <w:rPr>
          <w:sz w:val="27"/>
          <w:szCs w:val="27"/>
        </w:rPr>
        <w:t xml:space="preserve"> </w:t>
      </w:r>
      <w:proofErr w:type="spellStart"/>
      <w:r w:rsidRPr="009D05DD">
        <w:rPr>
          <w:sz w:val="27"/>
          <w:szCs w:val="27"/>
        </w:rPr>
        <w:t>on</w:t>
      </w:r>
      <w:proofErr w:type="spellEnd"/>
      <w:r w:rsidRPr="009D05DD">
        <w:rPr>
          <w:sz w:val="27"/>
          <w:szCs w:val="27"/>
        </w:rPr>
        <w:t xml:space="preserve"> </w:t>
      </w:r>
      <w:proofErr w:type="spellStart"/>
      <w:r w:rsidRPr="009D05DD">
        <w:rPr>
          <w:sz w:val="27"/>
          <w:szCs w:val="27"/>
        </w:rPr>
        <w:t>the</w:t>
      </w:r>
      <w:proofErr w:type="spellEnd"/>
      <w:r w:rsidRPr="009D05DD">
        <w:rPr>
          <w:sz w:val="27"/>
          <w:szCs w:val="27"/>
        </w:rPr>
        <w:t xml:space="preserve"> </w:t>
      </w:r>
      <w:proofErr w:type="spellStart"/>
      <w:r w:rsidRPr="009D05DD">
        <w:rPr>
          <w:sz w:val="27"/>
          <w:szCs w:val="27"/>
        </w:rPr>
        <w:t>boiling</w:t>
      </w:r>
      <w:proofErr w:type="spellEnd"/>
      <w:r w:rsidRPr="009D05DD">
        <w:rPr>
          <w:sz w:val="27"/>
          <w:szCs w:val="27"/>
        </w:rPr>
        <w:t xml:space="preserve"> point </w:t>
      </w:r>
      <w:proofErr w:type="spellStart"/>
      <w:r w:rsidRPr="009D05DD">
        <w:rPr>
          <w:sz w:val="27"/>
          <w:szCs w:val="27"/>
        </w:rPr>
        <w:t>rise</w:t>
      </w:r>
      <w:proofErr w:type="spellEnd"/>
      <w:r w:rsidRPr="009D05DD">
        <w:rPr>
          <w:sz w:val="27"/>
          <w:szCs w:val="27"/>
        </w:rPr>
        <w:t xml:space="preserve"> </w:t>
      </w:r>
      <w:proofErr w:type="spellStart"/>
      <w:r w:rsidRPr="009D05DD">
        <w:rPr>
          <w:sz w:val="27"/>
          <w:szCs w:val="27"/>
        </w:rPr>
        <w:t>of</w:t>
      </w:r>
      <w:proofErr w:type="spellEnd"/>
      <w:r w:rsidRPr="009D05DD">
        <w:rPr>
          <w:sz w:val="27"/>
          <w:szCs w:val="27"/>
        </w:rPr>
        <w:t xml:space="preserve"> </w:t>
      </w:r>
      <w:proofErr w:type="spellStart"/>
      <w:proofErr w:type="gramStart"/>
      <w:r w:rsidRPr="009D05DD">
        <w:rPr>
          <w:sz w:val="27"/>
          <w:szCs w:val="27"/>
        </w:rPr>
        <w:t>apple</w:t>
      </w:r>
      <w:proofErr w:type="spellEnd"/>
      <w:proofErr w:type="gramEnd"/>
      <w:r w:rsidRPr="009D05DD">
        <w:rPr>
          <w:sz w:val="27"/>
          <w:szCs w:val="27"/>
        </w:rPr>
        <w:t xml:space="preserve"> </w:t>
      </w:r>
      <w:proofErr w:type="spellStart"/>
      <w:r w:rsidRPr="009D05DD">
        <w:rPr>
          <w:sz w:val="27"/>
          <w:szCs w:val="27"/>
        </w:rPr>
        <w:t>juice</w:t>
      </w:r>
      <w:proofErr w:type="spellEnd"/>
      <w:r w:rsidRPr="009D05DD">
        <w:rPr>
          <w:sz w:val="27"/>
          <w:szCs w:val="27"/>
        </w:rPr>
        <w:t xml:space="preserve"> </w:t>
      </w:r>
      <w:proofErr w:type="spellStart"/>
      <w:r w:rsidRPr="009D05DD">
        <w:rPr>
          <w:sz w:val="27"/>
          <w:szCs w:val="27"/>
        </w:rPr>
        <w:t>and</w:t>
      </w:r>
      <w:proofErr w:type="spellEnd"/>
      <w:r w:rsidRPr="009D05DD">
        <w:rPr>
          <w:sz w:val="27"/>
          <w:szCs w:val="27"/>
        </w:rPr>
        <w:t xml:space="preserve"> </w:t>
      </w:r>
      <w:proofErr w:type="spellStart"/>
      <w:r w:rsidRPr="009D05DD">
        <w:rPr>
          <w:sz w:val="27"/>
          <w:szCs w:val="27"/>
        </w:rPr>
        <w:t>related</w:t>
      </w:r>
      <w:proofErr w:type="spellEnd"/>
      <w:r w:rsidRPr="009D05DD">
        <w:rPr>
          <w:sz w:val="27"/>
          <w:szCs w:val="27"/>
        </w:rPr>
        <w:t xml:space="preserve"> sugar </w:t>
      </w:r>
      <w:proofErr w:type="spellStart"/>
      <w:r w:rsidRPr="009D05DD">
        <w:rPr>
          <w:sz w:val="27"/>
          <w:szCs w:val="27"/>
        </w:rPr>
        <w:t>solutions</w:t>
      </w:r>
      <w:proofErr w:type="spellEnd"/>
      <w:r w:rsidRPr="009D05DD">
        <w:rPr>
          <w:sz w:val="27"/>
          <w:szCs w:val="27"/>
        </w:rPr>
        <w:t xml:space="preserve">, </w:t>
      </w:r>
      <w:proofErr w:type="spellStart"/>
      <w:r w:rsidRPr="009D05DD">
        <w:rPr>
          <w:sz w:val="27"/>
          <w:szCs w:val="27"/>
        </w:rPr>
        <w:t>Journal</w:t>
      </w:r>
      <w:proofErr w:type="spellEnd"/>
      <w:r w:rsidRPr="009D05DD">
        <w:rPr>
          <w:sz w:val="27"/>
          <w:szCs w:val="27"/>
        </w:rPr>
        <w:t xml:space="preserve"> </w:t>
      </w:r>
      <w:proofErr w:type="spellStart"/>
      <w:r w:rsidRPr="009D05DD">
        <w:rPr>
          <w:sz w:val="27"/>
          <w:szCs w:val="27"/>
        </w:rPr>
        <w:t>of</w:t>
      </w:r>
      <w:proofErr w:type="spellEnd"/>
      <w:r w:rsidRPr="009D05DD">
        <w:rPr>
          <w:sz w:val="27"/>
          <w:szCs w:val="27"/>
        </w:rPr>
        <w:t xml:space="preserve"> </w:t>
      </w:r>
      <w:proofErr w:type="spellStart"/>
      <w:r w:rsidRPr="009D05DD">
        <w:rPr>
          <w:sz w:val="27"/>
          <w:szCs w:val="27"/>
        </w:rPr>
        <w:t>Food</w:t>
      </w:r>
      <w:proofErr w:type="spellEnd"/>
      <w:r w:rsidRPr="009D05DD">
        <w:rPr>
          <w:sz w:val="27"/>
          <w:szCs w:val="27"/>
        </w:rPr>
        <w:t xml:space="preserve"> Science, 53(3), 865-895.</w:t>
      </w:r>
    </w:p>
    <w:p w:rsidR="00C64D36" w:rsidRDefault="00C64D36">
      <w:bookmarkStart w:id="0" w:name="_GoBack"/>
      <w:bookmarkEnd w:id="0"/>
    </w:p>
    <w:sectPr w:rsidR="00C64D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D"/>
    <w:rsid w:val="009D05DD"/>
    <w:rsid w:val="00C64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5DD"/>
    <w:rPr>
      <w:rFonts w:ascii="Tahoma" w:hAnsi="Tahoma" w:cs="Tahoma"/>
      <w:sz w:val="16"/>
      <w:szCs w:val="16"/>
    </w:rPr>
  </w:style>
  <w:style w:type="character" w:customStyle="1" w:styleId="TextodebaloChar">
    <w:name w:val="Texto de balão Char"/>
    <w:basedOn w:val="Fontepargpadro"/>
    <w:link w:val="Textodebalo"/>
    <w:uiPriority w:val="99"/>
    <w:semiHidden/>
    <w:rsid w:val="009D0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5DD"/>
    <w:rPr>
      <w:rFonts w:ascii="Tahoma" w:hAnsi="Tahoma" w:cs="Tahoma"/>
      <w:sz w:val="16"/>
      <w:szCs w:val="16"/>
    </w:rPr>
  </w:style>
  <w:style w:type="character" w:customStyle="1" w:styleId="TextodebaloChar">
    <w:name w:val="Texto de balão Char"/>
    <w:basedOn w:val="Fontepargpadro"/>
    <w:link w:val="Textodebalo"/>
    <w:uiPriority w:val="99"/>
    <w:semiHidden/>
    <w:rsid w:val="009D0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1495">
      <w:bodyDiv w:val="1"/>
      <w:marLeft w:val="0"/>
      <w:marRight w:val="0"/>
      <w:marTop w:val="0"/>
      <w:marBottom w:val="0"/>
      <w:divBdr>
        <w:top w:val="none" w:sz="0" w:space="0" w:color="auto"/>
        <w:left w:val="none" w:sz="0" w:space="0" w:color="auto"/>
        <w:bottom w:val="none" w:sz="0" w:space="0" w:color="auto"/>
        <w:right w:val="none" w:sz="0" w:space="0" w:color="auto"/>
      </w:divBdr>
      <w:divsChild>
        <w:div w:id="125632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9146">
                  <w:marLeft w:val="0"/>
                  <w:marRight w:val="0"/>
                  <w:marTop w:val="0"/>
                  <w:marBottom w:val="0"/>
                  <w:divBdr>
                    <w:top w:val="none" w:sz="0" w:space="0" w:color="auto"/>
                    <w:left w:val="none" w:sz="0" w:space="0" w:color="auto"/>
                    <w:bottom w:val="none" w:sz="0" w:space="0" w:color="auto"/>
                    <w:right w:val="none" w:sz="0" w:space="0" w:color="auto"/>
                  </w:divBdr>
                </w:div>
                <w:div w:id="143694709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7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859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47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3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018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6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149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013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57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7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dlw@maua.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2011-05-19T18:40:00Z</dcterms:created>
  <dcterms:modified xsi:type="dcterms:W3CDTF">2011-05-19T18:41:00Z</dcterms:modified>
</cp:coreProperties>
</file>